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C0357" w14:textId="22C0633D" w:rsidR="008D2DBC" w:rsidRDefault="004705D9" w:rsidP="008D2DBC">
      <w:pPr>
        <w:rPr>
          <w:rFonts w:ascii="Arial" w:hAnsi="Arial"/>
          <w:b/>
          <w:bCs/>
        </w:rPr>
      </w:pPr>
      <w:r>
        <w:rPr>
          <w:rFonts w:ascii="Arial" w:hAnsi="Arial"/>
          <w:b/>
          <w:bCs/>
        </w:rPr>
        <w:t xml:space="preserve">ACCIÓN DE </w:t>
      </w:r>
      <w:r w:rsidRPr="008D2DBC">
        <w:rPr>
          <w:rFonts w:ascii="Arial" w:hAnsi="Arial"/>
          <w:b/>
          <w:bCs/>
        </w:rPr>
        <w:t>TUTELA CONTRA PROVIDENCIA JUDICIAL</w:t>
      </w:r>
      <w:r>
        <w:rPr>
          <w:rFonts w:ascii="Arial" w:hAnsi="Arial"/>
          <w:b/>
          <w:bCs/>
        </w:rPr>
        <w:t xml:space="preserve"> </w:t>
      </w:r>
      <w:r w:rsidR="008D2DBC">
        <w:rPr>
          <w:rFonts w:ascii="Arial" w:hAnsi="Arial"/>
          <w:b/>
          <w:bCs/>
        </w:rPr>
        <w:t xml:space="preserve">/ </w:t>
      </w:r>
      <w:r>
        <w:rPr>
          <w:rFonts w:ascii="Arial" w:hAnsi="Arial"/>
          <w:b/>
          <w:bCs/>
        </w:rPr>
        <w:t xml:space="preserve">MEDIO DE CONTROL DE REPARACIÓN DIRECTA </w:t>
      </w:r>
      <w:r w:rsidR="007B45A3">
        <w:rPr>
          <w:rFonts w:ascii="Arial" w:hAnsi="Arial"/>
          <w:b/>
          <w:bCs/>
        </w:rPr>
        <w:t xml:space="preserve">/ </w:t>
      </w:r>
      <w:r>
        <w:rPr>
          <w:rFonts w:ascii="Arial" w:hAnsi="Arial"/>
          <w:b/>
          <w:bCs/>
        </w:rPr>
        <w:t xml:space="preserve">AUSENCIA DE RESPONSABILIDAD PATRIMONIAL DEL ESTADO </w:t>
      </w:r>
      <w:r w:rsidR="00202BE2">
        <w:rPr>
          <w:rFonts w:ascii="Arial" w:hAnsi="Arial"/>
          <w:b/>
          <w:bCs/>
        </w:rPr>
        <w:t xml:space="preserve">POR </w:t>
      </w:r>
      <w:bookmarkStart w:id="0" w:name="_GoBack"/>
      <w:bookmarkEnd w:id="0"/>
      <w:r w:rsidRPr="008D2DBC">
        <w:rPr>
          <w:rFonts w:ascii="Arial" w:hAnsi="Arial"/>
          <w:b/>
          <w:bCs/>
        </w:rPr>
        <w:t>PRIVACIÓN INJUSTA DE LA LIBERTAD</w:t>
      </w:r>
      <w:r>
        <w:rPr>
          <w:rFonts w:ascii="Arial" w:hAnsi="Arial"/>
          <w:b/>
          <w:bCs/>
        </w:rPr>
        <w:t xml:space="preserve"> </w:t>
      </w:r>
      <w:r w:rsidR="007B45A3">
        <w:rPr>
          <w:rFonts w:ascii="Arial" w:hAnsi="Arial"/>
          <w:b/>
          <w:bCs/>
        </w:rPr>
        <w:t xml:space="preserve">- </w:t>
      </w:r>
      <w:r>
        <w:rPr>
          <w:rFonts w:ascii="Arial" w:hAnsi="Arial"/>
          <w:b/>
          <w:bCs/>
        </w:rPr>
        <w:t xml:space="preserve">Medida de aseguramiento fue razonable </w:t>
      </w:r>
      <w:r w:rsidR="00671AD3">
        <w:rPr>
          <w:rFonts w:ascii="Arial" w:hAnsi="Arial"/>
          <w:b/>
          <w:bCs/>
        </w:rPr>
        <w:t>y</w:t>
      </w:r>
      <w:r>
        <w:rPr>
          <w:rFonts w:ascii="Arial" w:hAnsi="Arial"/>
          <w:b/>
          <w:bCs/>
        </w:rPr>
        <w:t xml:space="preserve"> acorde a la normativa procesal penal</w:t>
      </w:r>
    </w:p>
    <w:p w14:paraId="28870930" w14:textId="5F783B72" w:rsidR="008D2DBC" w:rsidRDefault="008D2DBC" w:rsidP="008D2DBC">
      <w:pPr>
        <w:rPr>
          <w:rFonts w:ascii="Arial" w:hAnsi="Arial"/>
          <w:b/>
          <w:bCs/>
        </w:rPr>
      </w:pPr>
    </w:p>
    <w:p w14:paraId="4999ED34" w14:textId="1EF7C55B" w:rsidR="004705D9" w:rsidRDefault="008D2DBC" w:rsidP="004705D9">
      <w:pPr>
        <w:ind w:right="-8"/>
        <w:contextualSpacing/>
        <w:rPr>
          <w:rFonts w:ascii="Arial" w:hAnsi="Arial"/>
        </w:rPr>
      </w:pPr>
      <w:r w:rsidRPr="00B01843">
        <w:rPr>
          <w:rFonts w:ascii="Arial" w:hAnsi="Arial"/>
        </w:rPr>
        <w:t>Ahora bien, cabe precisar que la autoridad judicial cuestionada, en</w:t>
      </w:r>
      <w:r w:rsidRPr="00B01843">
        <w:rPr>
          <w:rFonts w:ascii="Arial" w:hAnsi="Arial"/>
          <w:lang w:val="es-MX"/>
        </w:rPr>
        <w:t xml:space="preserve"> la providencia de 29 de julio de 2019, revocó el fallo del </w:t>
      </w:r>
      <w:r w:rsidRPr="00B01843">
        <w:rPr>
          <w:rFonts w:ascii="Arial" w:hAnsi="Arial"/>
          <w:i/>
          <w:lang w:val="es-MX"/>
        </w:rPr>
        <w:t>a quo</w:t>
      </w:r>
      <w:r w:rsidRPr="00B01843">
        <w:rPr>
          <w:rFonts w:ascii="Arial" w:hAnsi="Arial"/>
          <w:lang w:val="es-MX"/>
        </w:rPr>
        <w:t xml:space="preserve"> y, en su lugar, denegó las pretensiones de la demanda dentro del medio de control </w:t>
      </w:r>
      <w:r w:rsidRPr="00B01843">
        <w:rPr>
          <w:rFonts w:ascii="Arial" w:hAnsi="Arial"/>
        </w:rPr>
        <w:t xml:space="preserve">de reparación directa que promovieron los actores con el propósito de obtener la reparación de los perjuicios ocasionados con la privación injusta de la libertad a la que fueron sometidos por la presunta comisión de los delitos de secuestro simple en grado de tentativa y concierto para delinquir. </w:t>
      </w:r>
      <w:r>
        <w:rPr>
          <w:rFonts w:ascii="Arial" w:hAnsi="Arial"/>
        </w:rPr>
        <w:t>(…)</w:t>
      </w:r>
      <w:r w:rsidR="004705D9">
        <w:rPr>
          <w:rFonts w:ascii="Arial" w:hAnsi="Arial"/>
        </w:rPr>
        <w:t xml:space="preserve"> </w:t>
      </w:r>
      <w:r w:rsidRPr="00B01843">
        <w:rPr>
          <w:rFonts w:ascii="Arial" w:hAnsi="Arial"/>
          <w:lang w:val="es-CO"/>
        </w:rPr>
        <w:t xml:space="preserve">La </w:t>
      </w:r>
      <w:proofErr w:type="spellStart"/>
      <w:r w:rsidRPr="00B01843">
        <w:rPr>
          <w:rFonts w:ascii="Arial" w:hAnsi="Arial"/>
          <w:lang w:val="es-CO"/>
        </w:rPr>
        <w:t>razon</w:t>
      </w:r>
      <w:proofErr w:type="spellEnd"/>
      <w:r w:rsidRPr="00B01843">
        <w:rPr>
          <w:rFonts w:ascii="Arial" w:hAnsi="Arial"/>
          <w:lang w:val="es-CO"/>
        </w:rPr>
        <w:t xml:space="preserve"> de ello, la justificó en que </w:t>
      </w:r>
      <w:r w:rsidRPr="00B01843">
        <w:rPr>
          <w:rFonts w:ascii="Arial" w:hAnsi="Arial"/>
        </w:rPr>
        <w:t xml:space="preserve">la medida de aseguramiento impuesta a los accionantes estuvo precedida de una valoración adecuada de las pruebas obrantes en el plenario, de acuerdo al momento procesal en el que se encontraba la instrucción penal y al tipo de delito investigado, a partir de las cuales era viable  inferir de manera probable que los investigados podían tener un plan conjunto de secuestro, el cual fue frustrado por el accionar del señor </w:t>
      </w:r>
      <w:r w:rsidR="007B45A3">
        <w:rPr>
          <w:rFonts w:ascii="Arial" w:hAnsi="Arial"/>
        </w:rPr>
        <w:t>[G.</w:t>
      </w:r>
      <w:r w:rsidRPr="00B01843">
        <w:rPr>
          <w:rFonts w:ascii="Arial" w:hAnsi="Arial"/>
        </w:rPr>
        <w:t xml:space="preserve"> R</w:t>
      </w:r>
      <w:r w:rsidR="007B45A3">
        <w:rPr>
          <w:rFonts w:ascii="Arial" w:hAnsi="Arial"/>
        </w:rPr>
        <w:t>.</w:t>
      </w:r>
      <w:r w:rsidRPr="00B01843">
        <w:rPr>
          <w:rFonts w:ascii="Arial" w:hAnsi="Arial"/>
        </w:rPr>
        <w:t xml:space="preserve"> M</w:t>
      </w:r>
      <w:r w:rsidR="007B45A3">
        <w:rPr>
          <w:rFonts w:ascii="Arial" w:hAnsi="Arial"/>
        </w:rPr>
        <w:t>.]</w:t>
      </w:r>
      <w:r w:rsidRPr="00B01843">
        <w:rPr>
          <w:rFonts w:ascii="Arial" w:hAnsi="Arial"/>
        </w:rPr>
        <w:t xml:space="preserve"> y los policías que llegaron al lugar de los hechos, sin perjuicio que </w:t>
      </w:r>
      <w:r w:rsidRPr="00B01843">
        <w:rPr>
          <w:rFonts w:ascii="Arial" w:hAnsi="Arial"/>
          <w:i/>
          <w:iCs/>
        </w:rPr>
        <w:t xml:space="preserve"> </w:t>
      </w:r>
      <w:r w:rsidRPr="00B01843">
        <w:rPr>
          <w:rFonts w:ascii="Arial" w:hAnsi="Arial"/>
        </w:rPr>
        <w:t xml:space="preserve">posteriormente se concluyera que el accionar de los sindicados no encuadraba en la tipología penal de secuestro en grado de tentativa y concierto para delinquir que les fue inicialmente imputado. </w:t>
      </w:r>
      <w:r w:rsidR="007B45A3">
        <w:rPr>
          <w:rFonts w:ascii="Arial" w:hAnsi="Arial"/>
        </w:rPr>
        <w:t>(…)</w:t>
      </w:r>
      <w:r w:rsidR="004705D9">
        <w:rPr>
          <w:rFonts w:ascii="Arial" w:hAnsi="Arial"/>
        </w:rPr>
        <w:t xml:space="preserve"> </w:t>
      </w:r>
      <w:r w:rsidRPr="00B01843">
        <w:rPr>
          <w:rFonts w:ascii="Arial" w:hAnsi="Arial"/>
        </w:rPr>
        <w:t>De este modo, en la providencia en cuestión se encontró razonable la detención de los tutelantes, dado que estuvo soportada en unos indicios sólidos –</w:t>
      </w:r>
      <w:r w:rsidRPr="00B01843">
        <w:rPr>
          <w:rFonts w:ascii="Arial" w:hAnsi="Arial"/>
          <w:lang w:val="es-CO"/>
        </w:rPr>
        <w:t xml:space="preserve">el </w:t>
      </w:r>
      <w:r w:rsidR="004705D9" w:rsidRPr="00B01843">
        <w:rPr>
          <w:rFonts w:ascii="Arial" w:hAnsi="Arial"/>
          <w:lang w:val="es-CO"/>
        </w:rPr>
        <w:t>señalamiento</w:t>
      </w:r>
      <w:r w:rsidRPr="00B01843">
        <w:rPr>
          <w:rFonts w:ascii="Arial" w:hAnsi="Arial"/>
          <w:lang w:val="es-CO"/>
        </w:rPr>
        <w:t xml:space="preserve"> directo que realizó el ofendido en contra de los capturados, </w:t>
      </w:r>
      <w:r w:rsidRPr="00B01843">
        <w:rPr>
          <w:rFonts w:ascii="Arial" w:hAnsi="Arial"/>
        </w:rPr>
        <w:t>además de las circunstancias particulares que encajaban y de las que se podía inferir inicialmente que aquellos conspiraron de manera conjunta y que su plan resultó frustrado por el accionar ciudadano y policial–</w:t>
      </w:r>
      <w:r w:rsidRPr="00B01843">
        <w:rPr>
          <w:rFonts w:ascii="Arial" w:hAnsi="Arial"/>
          <w:i/>
          <w:iCs/>
          <w:lang w:val="es-CO"/>
        </w:rPr>
        <w:t xml:space="preserve"> </w:t>
      </w:r>
      <w:r w:rsidRPr="00B01843">
        <w:rPr>
          <w:rFonts w:ascii="Arial" w:hAnsi="Arial"/>
        </w:rPr>
        <w:t>que tenían suficiente fuerza de convicción para determinar la necesidad y la pertinencia de la medida de aseguramiento, la cual fue proporcional en función de la pena prevista para los punibles objeto de investigación y que cesó por aplicación de preclusión de investigación, debido a pruebas sobrevinientes.</w:t>
      </w:r>
    </w:p>
    <w:p w14:paraId="4108A0C3" w14:textId="77777777" w:rsidR="004705D9" w:rsidRDefault="004705D9" w:rsidP="004705D9">
      <w:pPr>
        <w:ind w:right="-8"/>
        <w:contextualSpacing/>
        <w:rPr>
          <w:rFonts w:ascii="Arial" w:hAnsi="Arial"/>
        </w:rPr>
      </w:pPr>
    </w:p>
    <w:p w14:paraId="05D03116" w14:textId="17D6D9E7" w:rsidR="004705D9" w:rsidRDefault="004705D9" w:rsidP="004705D9">
      <w:pPr>
        <w:ind w:right="-8"/>
        <w:contextualSpacing/>
        <w:rPr>
          <w:rFonts w:ascii="Arial" w:hAnsi="Arial"/>
          <w:b/>
          <w:bCs/>
        </w:rPr>
      </w:pPr>
      <w:r>
        <w:rPr>
          <w:rFonts w:ascii="Arial" w:hAnsi="Arial"/>
          <w:b/>
          <w:bCs/>
        </w:rPr>
        <w:t>ACCIÓN DE TUTELA /</w:t>
      </w:r>
      <w:r w:rsidR="00671AD3">
        <w:rPr>
          <w:rFonts w:ascii="Arial" w:hAnsi="Arial"/>
          <w:b/>
          <w:bCs/>
        </w:rPr>
        <w:t xml:space="preserve"> </w:t>
      </w:r>
      <w:r>
        <w:rPr>
          <w:rFonts w:ascii="Arial" w:hAnsi="Arial"/>
          <w:b/>
          <w:bCs/>
        </w:rPr>
        <w:t>AUSENCIA DE</w:t>
      </w:r>
      <w:r w:rsidRPr="008D2DBC">
        <w:rPr>
          <w:rFonts w:ascii="Arial" w:hAnsi="Arial"/>
          <w:b/>
          <w:bCs/>
        </w:rPr>
        <w:t xml:space="preserve"> DEFECTO</w:t>
      </w:r>
      <w:r>
        <w:rPr>
          <w:rFonts w:ascii="Arial" w:hAnsi="Arial"/>
          <w:b/>
          <w:bCs/>
        </w:rPr>
        <w:t xml:space="preserve">S POR </w:t>
      </w:r>
      <w:r w:rsidRPr="008D2DBC">
        <w:rPr>
          <w:rFonts w:ascii="Arial" w:hAnsi="Arial"/>
          <w:b/>
          <w:bCs/>
        </w:rPr>
        <w:t>DESCONOCIMIENTO DEL PRECEDENTE Y VIOLACIÓN DIRECTA DE LA CONSTITUCIÓN</w:t>
      </w:r>
      <w:r>
        <w:rPr>
          <w:rFonts w:ascii="Arial" w:hAnsi="Arial"/>
          <w:b/>
          <w:bCs/>
        </w:rPr>
        <w:t xml:space="preserve"> – Providencia invocada no resulta aplicable al caso / JURISPRUDENCIA ANUNCIADA – Concepto</w:t>
      </w:r>
    </w:p>
    <w:p w14:paraId="13A3D10D" w14:textId="77777777" w:rsidR="004705D9" w:rsidRDefault="004705D9" w:rsidP="004705D9">
      <w:pPr>
        <w:ind w:right="-8"/>
        <w:contextualSpacing/>
        <w:rPr>
          <w:rFonts w:ascii="Arial" w:hAnsi="Arial"/>
        </w:rPr>
      </w:pPr>
    </w:p>
    <w:p w14:paraId="3B3AD2F6" w14:textId="18BDC4E7" w:rsidR="007B45A3" w:rsidRPr="00B01843" w:rsidRDefault="007B45A3" w:rsidP="004705D9">
      <w:pPr>
        <w:ind w:right="-8"/>
        <w:contextualSpacing/>
        <w:rPr>
          <w:rFonts w:ascii="Arial" w:hAnsi="Arial"/>
        </w:rPr>
      </w:pPr>
      <w:r w:rsidRPr="00B01843">
        <w:rPr>
          <w:rFonts w:ascii="Arial" w:hAnsi="Arial"/>
        </w:rPr>
        <w:t xml:space="preserve">Por otro lado, se encuentra que los argumentos expuestos por la parte actora para sustentar la configuración de los defectos por desconocimiento del precedente y de violación directa de la Constitución están estrechamente relacionados, en atención a que el actor considera que la autoridad judicial enjuiciada incurrió en los mismos al resolver la controversia expuesta en el medio de control al tenor de las reglas señaladas por la </w:t>
      </w:r>
      <w:r w:rsidRPr="00B01843">
        <w:rPr>
          <w:rFonts w:ascii="Arial" w:hAnsi="Arial"/>
          <w:color w:val="000000" w:themeColor="text1"/>
          <w:shd w:val="clear" w:color="auto" w:fill="FFFFFF"/>
        </w:rPr>
        <w:t>Sala Plena de la Sección Tercera del Consejo de Estado</w:t>
      </w:r>
      <w:r w:rsidRPr="00B01843">
        <w:rPr>
          <w:rFonts w:ascii="Arial" w:hAnsi="Arial"/>
        </w:rPr>
        <w:t xml:space="preserve"> en la sentencia de unificación de 15 de agosto de 2018, por lo que se procederá a realizar su estudio de manera conjunta. </w:t>
      </w:r>
      <w:r>
        <w:rPr>
          <w:rFonts w:ascii="Arial" w:hAnsi="Arial"/>
        </w:rPr>
        <w:t>(…)</w:t>
      </w:r>
      <w:r w:rsidR="004705D9">
        <w:rPr>
          <w:rFonts w:ascii="Arial" w:hAnsi="Arial"/>
        </w:rPr>
        <w:t xml:space="preserve"> </w:t>
      </w:r>
      <w:r w:rsidRPr="00B01843">
        <w:rPr>
          <w:rFonts w:ascii="Arial" w:hAnsi="Arial"/>
        </w:rPr>
        <w:t>Así las cosas, se encuentra que la parte actora cumplió con la carga argumentativa requerida para analizar este cargo, pues considera que el</w:t>
      </w:r>
      <w:r w:rsidRPr="00B01843">
        <w:rPr>
          <w:rFonts w:ascii="Arial" w:eastAsia="Times New Roman" w:hAnsi="Arial"/>
          <w:lang w:val="es-MX" w:eastAsia="es-ES"/>
        </w:rPr>
        <w:t xml:space="preserve"> </w:t>
      </w:r>
      <w:r w:rsidRPr="00B01843">
        <w:rPr>
          <w:rFonts w:ascii="Arial" w:hAnsi="Arial"/>
        </w:rPr>
        <w:t>Consejo de Estado, Sección Tercera, Subsección C</w:t>
      </w:r>
      <w:r w:rsidRPr="00B01843">
        <w:rPr>
          <w:rFonts w:ascii="Arial" w:eastAsia="Times New Roman" w:hAnsi="Arial"/>
          <w:lang w:val="es-MX" w:eastAsia="es-ES"/>
        </w:rPr>
        <w:t xml:space="preserve">, se apartó de la </w:t>
      </w:r>
      <w:r w:rsidRPr="00B01843">
        <w:rPr>
          <w:rFonts w:ascii="Arial" w:hAnsi="Arial"/>
        </w:rPr>
        <w:t xml:space="preserve">sentencia de unificación proferida el 27 de junio de 2017 por la Sala Plena de esa misma sección, en el entendido de aplicar la figura </w:t>
      </w:r>
      <w:r w:rsidRPr="00B01843">
        <w:rPr>
          <w:rFonts w:ascii="Arial" w:hAnsi="Arial"/>
          <w:lang w:val="es-CO"/>
        </w:rPr>
        <w:t xml:space="preserve">jurídica llamada </w:t>
      </w:r>
      <w:r w:rsidRPr="00B01843">
        <w:rPr>
          <w:rFonts w:ascii="Arial" w:hAnsi="Arial"/>
          <w:i/>
          <w:iCs/>
          <w:lang w:val="es-CO"/>
        </w:rPr>
        <w:t>“jurisprudencia anunciada”</w:t>
      </w:r>
      <w:r w:rsidRPr="00B01843">
        <w:rPr>
          <w:rFonts w:ascii="Arial" w:hAnsi="Arial"/>
          <w:lang w:val="es-CO"/>
        </w:rPr>
        <w:t xml:space="preserve">. Esto, implicaba que solo se resolverían casos de privación injusta de la libertad bajo los parámetros señalados en la sentencia de unificación </w:t>
      </w:r>
      <w:r w:rsidRPr="00B01843">
        <w:rPr>
          <w:rFonts w:ascii="Arial" w:hAnsi="Arial"/>
        </w:rPr>
        <w:t xml:space="preserve">de 15 de agosto de 2018 presentados con posterioridad a esa fecha, mas no en aquellos como el que nos ocupa la atención, comoquiera que los hechos sobre los que giró </w:t>
      </w:r>
      <w:r w:rsidRPr="00B01843">
        <w:rPr>
          <w:rFonts w:ascii="Arial" w:hAnsi="Arial"/>
        </w:rPr>
        <w:lastRenderedPageBreak/>
        <w:t xml:space="preserve">en torno la controversia acontecieron mucho antes (2004-2007) cuando la responsabilidad patrimonial del Estado debía analizarse bajo un título objetivo de imputación. </w:t>
      </w:r>
      <w:r>
        <w:rPr>
          <w:rFonts w:ascii="Arial" w:hAnsi="Arial"/>
        </w:rPr>
        <w:t>(…)</w:t>
      </w:r>
      <w:r w:rsidR="004705D9">
        <w:rPr>
          <w:rFonts w:ascii="Arial" w:hAnsi="Arial"/>
        </w:rPr>
        <w:t xml:space="preserve"> </w:t>
      </w:r>
      <w:r w:rsidRPr="00B01843">
        <w:rPr>
          <w:rFonts w:ascii="Arial" w:hAnsi="Arial"/>
        </w:rPr>
        <w:t xml:space="preserve">Ahora bien, es de anotar que en </w:t>
      </w:r>
      <w:r w:rsidRPr="00B01843">
        <w:rPr>
          <w:rFonts w:ascii="Arial" w:hAnsi="Arial"/>
          <w:color w:val="000000" w:themeColor="text1"/>
        </w:rPr>
        <w:t xml:space="preserve">la </w:t>
      </w:r>
      <w:r w:rsidRPr="00B01843">
        <w:rPr>
          <w:rFonts w:ascii="Arial" w:hAnsi="Arial"/>
        </w:rPr>
        <w:t>sentencia de unificación proferida el 27 de junio de 2017</w:t>
      </w:r>
      <w:r w:rsidRPr="00B01843">
        <w:rPr>
          <w:rFonts w:ascii="Arial" w:hAnsi="Arial"/>
          <w:color w:val="000000" w:themeColor="text1"/>
        </w:rPr>
        <w:t xml:space="preserve"> se discutió el caso de una señora que se desempeñaba como ama de casa y falleció por un accidente de tránsito imputable en un 50% al Estado, dado que la </w:t>
      </w:r>
      <w:r w:rsidRPr="00B01843">
        <w:rPr>
          <w:rFonts w:ascii="Arial" w:hAnsi="Arial"/>
          <w:color w:val="000000" w:themeColor="text1"/>
          <w:lang w:val="es-CO"/>
        </w:rPr>
        <w:t xml:space="preserve">víctima concurrió en culpa al no usar casco de protección, en la cual </w:t>
      </w:r>
      <w:r w:rsidRPr="00B01843">
        <w:rPr>
          <w:rFonts w:ascii="Arial" w:hAnsi="Arial"/>
          <w:color w:val="000000" w:themeColor="text1"/>
        </w:rPr>
        <w:t xml:space="preserve">la Sala Plena del Consejo de Estado unificó los criterios respecto de la tipología patrimonial a reconocer por los perjuicios ocasionados por muerte de personas encargadas de la economía y cuidado del hogar; además, refirió que se </w:t>
      </w:r>
      <w:r w:rsidRPr="00B01843">
        <w:rPr>
          <w:rFonts w:ascii="Arial" w:eastAsia="Arial" w:hAnsi="Arial"/>
          <w:iCs/>
        </w:rPr>
        <w:t xml:space="preserve">emplearía la figura de la jurisprudencia anunciada para modular los efectos del cambio jurisprudencial contenido allí. </w:t>
      </w:r>
      <w:r w:rsidR="004705D9">
        <w:rPr>
          <w:rFonts w:ascii="Arial" w:hAnsi="Arial"/>
        </w:rPr>
        <w:t xml:space="preserve"> </w:t>
      </w:r>
      <w:r w:rsidRPr="00B01843">
        <w:rPr>
          <w:rFonts w:ascii="Arial" w:hAnsi="Arial"/>
        </w:rPr>
        <w:t xml:space="preserve">De modo que no le asiste razón a la parte actora al considerar que la autoridad judicial enjuiciada desconoció la regla señalada en la sentencia de unificación de 27 de junio de 2017, pues </w:t>
      </w:r>
      <w:r w:rsidRPr="00B01843">
        <w:rPr>
          <w:rFonts w:ascii="Arial" w:hAnsi="Arial"/>
          <w:lang w:val="es-CO"/>
        </w:rPr>
        <w:t xml:space="preserve">la controversia que resolvió la Sala Plena de la Sección Tercera de esta Corporación en esa oportunidad difiere de la analizada en el proveído cuestionado, comoquiera que no se está frente a un </w:t>
      </w:r>
      <w:proofErr w:type="spellStart"/>
      <w:r w:rsidRPr="00B01843">
        <w:rPr>
          <w:rFonts w:ascii="Arial" w:hAnsi="Arial"/>
          <w:lang w:val="es-CO"/>
        </w:rPr>
        <w:t>prececente</w:t>
      </w:r>
      <w:proofErr w:type="spellEnd"/>
      <w:r w:rsidRPr="00B01843">
        <w:rPr>
          <w:rFonts w:ascii="Arial" w:hAnsi="Arial"/>
          <w:lang w:val="es-CO"/>
        </w:rPr>
        <w:t xml:space="preserve"> que trate sobre la responsabilidad patrimonial del Estado derivada de la privación injusta de la libertad. </w:t>
      </w:r>
      <w:r w:rsidRPr="00B01843">
        <w:rPr>
          <w:rFonts w:ascii="Arial" w:eastAsia="Arial" w:hAnsi="Arial"/>
          <w:iCs/>
        </w:rPr>
        <w:t>Además,</w:t>
      </w:r>
      <w:r w:rsidRPr="00B01843">
        <w:rPr>
          <w:rFonts w:ascii="Arial" w:eastAsia="Arial" w:hAnsi="Arial"/>
          <w:i/>
        </w:rPr>
        <w:t xml:space="preserve"> </w:t>
      </w:r>
      <w:r w:rsidRPr="00B01843">
        <w:rPr>
          <w:rFonts w:ascii="Arial" w:hAnsi="Arial"/>
          <w:lang w:val="es-CO"/>
        </w:rPr>
        <w:t xml:space="preserve">en dicho pronunciamiento </w:t>
      </w:r>
      <w:r w:rsidRPr="00B01843">
        <w:rPr>
          <w:rFonts w:ascii="Arial" w:hAnsi="Arial"/>
        </w:rPr>
        <w:t xml:space="preserve">se señaló de manera clara que se </w:t>
      </w:r>
      <w:r w:rsidRPr="00B01843">
        <w:rPr>
          <w:rFonts w:ascii="Arial" w:eastAsia="Arial" w:hAnsi="Arial"/>
        </w:rPr>
        <w:t xml:space="preserve">emplearía la figura de la jurisprudencia anunciada para </w:t>
      </w:r>
      <w:r w:rsidRPr="00B01843">
        <w:rPr>
          <w:rFonts w:ascii="Arial" w:eastAsia="Arial" w:hAnsi="Arial"/>
          <w:iCs/>
        </w:rPr>
        <w:t xml:space="preserve">modular los efectos del cambio jurisprudencial fijado en esa sentencia, pues tendría </w:t>
      </w:r>
      <w:r w:rsidRPr="00B01843">
        <w:rPr>
          <w:rFonts w:ascii="Arial" w:eastAsia="Arial" w:hAnsi="Arial"/>
        </w:rPr>
        <w:t xml:space="preserve">efectos en </w:t>
      </w:r>
      <w:r w:rsidRPr="00B01843">
        <w:rPr>
          <w:rFonts w:ascii="Arial" w:eastAsia="Arial" w:hAnsi="Arial"/>
          <w:i/>
          <w:iCs/>
        </w:rPr>
        <w:t>“la tasación y liquidación de nuevos perjuicios</w:t>
      </w:r>
      <w:r w:rsidRPr="00B01843">
        <w:rPr>
          <w:rFonts w:ascii="Arial" w:hAnsi="Arial"/>
          <w:i/>
          <w:iCs/>
          <w:lang w:val="es-CO"/>
        </w:rPr>
        <w:t xml:space="preserve"> </w:t>
      </w:r>
      <w:r w:rsidRPr="00B01843">
        <w:rPr>
          <w:rFonts w:ascii="Arial" w:eastAsia="Arial" w:hAnsi="Arial"/>
          <w:i/>
          <w:iCs/>
        </w:rPr>
        <w:t xml:space="preserve">frente a los cuales no operó el principio de contradicción”, </w:t>
      </w:r>
      <w:r w:rsidRPr="00B01843">
        <w:rPr>
          <w:rFonts w:ascii="Arial" w:eastAsia="Arial" w:hAnsi="Arial"/>
        </w:rPr>
        <w:t xml:space="preserve">lo que no se hizo extensivo para casos como el que nos ocupa la atención. Quiere ello decir que, </w:t>
      </w:r>
      <w:r w:rsidRPr="00B01843">
        <w:rPr>
          <w:rFonts w:ascii="Arial" w:hAnsi="Arial"/>
        </w:rPr>
        <w:t xml:space="preserve">este cargo no tiene vocación de prosperidad comoquiera que la autoridad </w:t>
      </w:r>
      <w:r w:rsidRPr="00B01843">
        <w:rPr>
          <w:rFonts w:ascii="Arial" w:eastAsia="Century Gothic" w:hAnsi="Arial"/>
          <w:spacing w:val="4"/>
          <w:lang w:eastAsia="es-CO"/>
        </w:rPr>
        <w:t xml:space="preserve">en cuestión no incurrió en la irregularidad planteada por la parte actora, en atención a que </w:t>
      </w:r>
      <w:r w:rsidRPr="00B01843">
        <w:rPr>
          <w:rFonts w:ascii="Arial" w:hAnsi="Arial"/>
        </w:rPr>
        <w:t xml:space="preserve">la sentencia de unificación de 27 de junio de 2017 no constituye un </w:t>
      </w:r>
      <w:r w:rsidRPr="00B01843">
        <w:rPr>
          <w:rFonts w:ascii="Arial" w:eastAsia="Arial" w:hAnsi="Arial"/>
        </w:rPr>
        <w:t xml:space="preserve">precedente vinculante para el asunto bajo estudio que, a la vez, permita colegir que incurrió en el defecto por </w:t>
      </w:r>
      <w:r w:rsidRPr="00B01843">
        <w:rPr>
          <w:rFonts w:ascii="Arial" w:eastAsia="Times New Roman" w:hAnsi="Arial"/>
          <w:color w:val="000000" w:themeColor="text1"/>
          <w:shd w:val="clear" w:color="auto" w:fill="FFFFFF"/>
          <w:lang w:val="es-CO" w:eastAsia="es-ES_tradnl"/>
        </w:rPr>
        <w:t>violación directa de la Constitución planteado.</w:t>
      </w:r>
    </w:p>
    <w:p w14:paraId="7DE7B20A" w14:textId="77777777" w:rsidR="007B45A3" w:rsidRPr="00B01843" w:rsidRDefault="007B45A3" w:rsidP="008D2DBC">
      <w:pPr>
        <w:widowControl w:val="0"/>
        <w:contextualSpacing/>
        <w:rPr>
          <w:rFonts w:ascii="Arial" w:hAnsi="Arial"/>
        </w:rPr>
      </w:pPr>
    </w:p>
    <w:p w14:paraId="20C6DDD7" w14:textId="630B13B5" w:rsidR="008D2DBC" w:rsidRPr="00B01843" w:rsidRDefault="00916BF3" w:rsidP="008D2DBC">
      <w:pPr>
        <w:widowControl w:val="0"/>
        <w:contextualSpacing/>
        <w:rPr>
          <w:rFonts w:ascii="Arial" w:hAnsi="Arial"/>
        </w:rPr>
      </w:pPr>
      <w:r>
        <w:rPr>
          <w:rFonts w:ascii="Arial" w:hAnsi="Arial"/>
          <w:b/>
          <w:bCs/>
        </w:rPr>
        <w:t xml:space="preserve">ACCIÓN DE </w:t>
      </w:r>
      <w:r w:rsidRPr="008D2DBC">
        <w:rPr>
          <w:rFonts w:ascii="Arial" w:hAnsi="Arial"/>
          <w:b/>
          <w:bCs/>
        </w:rPr>
        <w:t>TUTELA CONTRA PROVIDENCIA JUDICIAL</w:t>
      </w:r>
      <w:r>
        <w:rPr>
          <w:rFonts w:ascii="Arial" w:hAnsi="Arial"/>
          <w:b/>
          <w:bCs/>
        </w:rPr>
        <w:t xml:space="preserve"> / MEDIO DE CONTROL DE REPARACIÓN DIRECTA / AUSENCIA DE</w:t>
      </w:r>
      <w:r w:rsidRPr="008D2DBC">
        <w:rPr>
          <w:rFonts w:ascii="Arial" w:hAnsi="Arial"/>
          <w:b/>
          <w:bCs/>
        </w:rPr>
        <w:t xml:space="preserve"> DEFECTO PROCEDIMENTAL ABSOLUTO</w:t>
      </w:r>
      <w:r>
        <w:rPr>
          <w:rFonts w:ascii="Arial" w:hAnsi="Arial"/>
          <w:b/>
          <w:bCs/>
        </w:rPr>
        <w:t xml:space="preserve"> </w:t>
      </w:r>
    </w:p>
    <w:p w14:paraId="3A6EE61F" w14:textId="77777777" w:rsidR="00916BF3" w:rsidRDefault="00916BF3" w:rsidP="00916BF3">
      <w:pPr>
        <w:widowControl w:val="0"/>
        <w:contextualSpacing/>
        <w:rPr>
          <w:rFonts w:ascii="Arial" w:hAnsi="Arial"/>
        </w:rPr>
      </w:pPr>
    </w:p>
    <w:p w14:paraId="113BAB80" w14:textId="4B7F08C1" w:rsidR="008D2DBC" w:rsidRPr="00916BF3" w:rsidRDefault="008D2DBC" w:rsidP="00916BF3">
      <w:pPr>
        <w:widowControl w:val="0"/>
        <w:contextualSpacing/>
        <w:rPr>
          <w:rFonts w:ascii="Arial" w:hAnsi="Arial"/>
        </w:rPr>
      </w:pPr>
      <w:r w:rsidRPr="00B01843">
        <w:rPr>
          <w:rFonts w:ascii="Arial" w:hAnsi="Arial"/>
        </w:rPr>
        <w:t xml:space="preserve">Precisado lo anterior, </w:t>
      </w:r>
      <w:r w:rsidRPr="00B01843">
        <w:rPr>
          <w:rFonts w:ascii="Arial" w:hAnsi="Arial"/>
          <w:lang w:val="es-CO"/>
        </w:rPr>
        <w:t xml:space="preserve">resulta necesario referirse al defecto procedimental absoluto, teniendo en cuenta que la parte actora sugiere la configuración del mismo. </w:t>
      </w:r>
      <w:r>
        <w:rPr>
          <w:rFonts w:ascii="Arial" w:hAnsi="Arial"/>
          <w:lang w:val="es-CO"/>
        </w:rPr>
        <w:t xml:space="preserve">(…) </w:t>
      </w:r>
      <w:r w:rsidRPr="00B01843">
        <w:rPr>
          <w:rFonts w:ascii="Arial" w:hAnsi="Arial"/>
          <w:bCs/>
          <w:color w:val="000000" w:themeColor="text1"/>
        </w:rPr>
        <w:t xml:space="preserve">Como se ve, los tutelantes no hacen alusión a una situación relacionada con la presunta </w:t>
      </w:r>
      <w:proofErr w:type="spellStart"/>
      <w:r w:rsidRPr="00B01843">
        <w:rPr>
          <w:rFonts w:ascii="Arial" w:hAnsi="Arial"/>
          <w:color w:val="000000" w:themeColor="text1"/>
          <w:lang w:val="es-CO"/>
        </w:rPr>
        <w:t>pretermitación</w:t>
      </w:r>
      <w:proofErr w:type="spellEnd"/>
      <w:r w:rsidRPr="00B01843">
        <w:rPr>
          <w:rFonts w:ascii="Arial" w:hAnsi="Arial"/>
          <w:bCs/>
          <w:color w:val="000000" w:themeColor="text1"/>
          <w:lang w:val="es-CO"/>
        </w:rPr>
        <w:t xml:space="preserve"> de </w:t>
      </w:r>
      <w:r w:rsidRPr="00B01843">
        <w:rPr>
          <w:rFonts w:ascii="Arial" w:hAnsi="Arial"/>
          <w:color w:val="000000" w:themeColor="text1"/>
          <w:lang w:val="es-CO" w:eastAsia="es-ES_tradnl"/>
        </w:rPr>
        <w:t xml:space="preserve">etapas procesales del medio de control de reparación directa, que les impidiera ejercer su </w:t>
      </w:r>
      <w:r w:rsidRPr="00B01843">
        <w:rPr>
          <w:rFonts w:ascii="Arial" w:eastAsia="Times New Roman" w:hAnsi="Arial"/>
          <w:color w:val="000000" w:themeColor="text1"/>
          <w:lang w:val="es-CO" w:eastAsia="es-ES_tradnl"/>
        </w:rPr>
        <w:t xml:space="preserve">derecho a la defensa y a la contradicción, sino que lo pretendido es cuestionar la forma en que la colegiatura enjuiciada aplicó el precedente referente a los casos de privación injusta de la libertad para resolver su caso, por lo que no tiene vocación de prosperidad. </w:t>
      </w:r>
    </w:p>
    <w:p w14:paraId="5CC6764C" w14:textId="77777777" w:rsidR="008D2DBC" w:rsidRDefault="008D2DBC" w:rsidP="007B45A3">
      <w:pPr>
        <w:spacing w:line="276" w:lineRule="auto"/>
        <w:rPr>
          <w:rFonts w:ascii="Arial" w:hAnsi="Arial"/>
          <w:b/>
          <w:bCs/>
        </w:rPr>
      </w:pPr>
    </w:p>
    <w:p w14:paraId="015D42AC" w14:textId="57F7E985" w:rsidR="00714086" w:rsidRDefault="00714086" w:rsidP="00714086">
      <w:pPr>
        <w:spacing w:line="276" w:lineRule="auto"/>
        <w:jc w:val="center"/>
        <w:rPr>
          <w:rFonts w:ascii="Arial" w:hAnsi="Arial"/>
          <w:b/>
          <w:bCs/>
        </w:rPr>
      </w:pPr>
      <w:r w:rsidRPr="00B01843">
        <w:rPr>
          <w:rFonts w:ascii="Arial" w:hAnsi="Arial"/>
          <w:b/>
          <w:bCs/>
        </w:rPr>
        <w:t>CONSEJO DE ESTADO</w:t>
      </w:r>
    </w:p>
    <w:p w14:paraId="03A06883" w14:textId="77777777" w:rsidR="008D2DBC" w:rsidRPr="00B01843" w:rsidRDefault="008D2DBC" w:rsidP="00714086">
      <w:pPr>
        <w:spacing w:line="276" w:lineRule="auto"/>
        <w:jc w:val="center"/>
        <w:rPr>
          <w:rFonts w:ascii="Arial" w:hAnsi="Arial"/>
          <w:b/>
          <w:bCs/>
          <w:lang w:eastAsia="es-ES"/>
        </w:rPr>
      </w:pPr>
    </w:p>
    <w:p w14:paraId="71D3833E" w14:textId="3BD60CF5" w:rsidR="00714086" w:rsidRDefault="00714086" w:rsidP="00714086">
      <w:pPr>
        <w:spacing w:line="276" w:lineRule="auto"/>
        <w:ind w:right="-8"/>
        <w:jc w:val="center"/>
        <w:rPr>
          <w:rFonts w:ascii="Arial" w:hAnsi="Arial"/>
          <w:b/>
          <w:bCs/>
        </w:rPr>
      </w:pPr>
      <w:r w:rsidRPr="00B01843">
        <w:rPr>
          <w:rFonts w:ascii="Arial" w:hAnsi="Arial"/>
          <w:b/>
          <w:bCs/>
        </w:rPr>
        <w:t>SALA DE LO CONTENCIOSO ADMINISTRATIVO</w:t>
      </w:r>
    </w:p>
    <w:p w14:paraId="1DBBE2A8" w14:textId="77777777" w:rsidR="008D2DBC" w:rsidRPr="00B01843" w:rsidRDefault="008D2DBC" w:rsidP="00714086">
      <w:pPr>
        <w:spacing w:line="276" w:lineRule="auto"/>
        <w:ind w:right="-8"/>
        <w:jc w:val="center"/>
        <w:rPr>
          <w:rFonts w:ascii="Arial" w:hAnsi="Arial"/>
          <w:b/>
          <w:bCs/>
        </w:rPr>
      </w:pPr>
    </w:p>
    <w:p w14:paraId="5A5EDBA8" w14:textId="77777777" w:rsidR="00714086" w:rsidRPr="00B01843" w:rsidRDefault="00714086" w:rsidP="00714086">
      <w:pPr>
        <w:spacing w:line="276" w:lineRule="auto"/>
        <w:ind w:right="-8"/>
        <w:jc w:val="center"/>
        <w:rPr>
          <w:rFonts w:ascii="Arial" w:hAnsi="Arial"/>
          <w:b/>
          <w:bCs/>
        </w:rPr>
      </w:pPr>
      <w:r w:rsidRPr="00B01843">
        <w:rPr>
          <w:rFonts w:ascii="Arial" w:hAnsi="Arial"/>
          <w:b/>
          <w:bCs/>
        </w:rPr>
        <w:t>SECCIÓN QUINTA</w:t>
      </w:r>
    </w:p>
    <w:p w14:paraId="003344DB" w14:textId="77777777" w:rsidR="00714086" w:rsidRPr="00B01843" w:rsidRDefault="00714086" w:rsidP="00714086">
      <w:pPr>
        <w:spacing w:line="276" w:lineRule="auto"/>
        <w:ind w:right="-8"/>
        <w:jc w:val="center"/>
        <w:rPr>
          <w:rFonts w:ascii="Arial" w:hAnsi="Arial"/>
          <w:lang w:val="es-CO"/>
        </w:rPr>
      </w:pPr>
    </w:p>
    <w:p w14:paraId="49E546F9" w14:textId="3705A282" w:rsidR="00714086" w:rsidRPr="00B01843" w:rsidRDefault="008D2DBC" w:rsidP="00714086">
      <w:pPr>
        <w:spacing w:line="276" w:lineRule="auto"/>
        <w:ind w:right="-8"/>
        <w:jc w:val="center"/>
        <w:rPr>
          <w:rFonts w:ascii="Arial" w:hAnsi="Arial"/>
          <w:b/>
          <w:bCs/>
        </w:rPr>
      </w:pPr>
      <w:r>
        <w:rPr>
          <w:rFonts w:ascii="Arial" w:hAnsi="Arial"/>
          <w:b/>
          <w:bCs/>
        </w:rPr>
        <w:t xml:space="preserve">Consejero </w:t>
      </w:r>
      <w:r w:rsidRPr="00B01843">
        <w:rPr>
          <w:rFonts w:ascii="Arial" w:hAnsi="Arial"/>
          <w:b/>
          <w:bCs/>
        </w:rPr>
        <w:t>ponente</w:t>
      </w:r>
      <w:r w:rsidR="00714086" w:rsidRPr="00B01843">
        <w:rPr>
          <w:rFonts w:ascii="Arial" w:hAnsi="Arial"/>
          <w:b/>
          <w:bCs/>
        </w:rPr>
        <w:t>: CARLOS ENRIQUE MORENO RUBIO</w:t>
      </w:r>
    </w:p>
    <w:p w14:paraId="6FC9F7FD" w14:textId="77777777" w:rsidR="00714086" w:rsidRPr="00B01843" w:rsidRDefault="00714086" w:rsidP="004705D9">
      <w:pPr>
        <w:spacing w:line="276" w:lineRule="auto"/>
        <w:ind w:right="-8"/>
        <w:rPr>
          <w:rFonts w:ascii="Arial" w:hAnsi="Arial"/>
          <w:b/>
          <w:bCs/>
        </w:rPr>
      </w:pPr>
    </w:p>
    <w:p w14:paraId="323B8DBC" w14:textId="77777777" w:rsidR="00714086" w:rsidRPr="00B01843" w:rsidRDefault="00714086" w:rsidP="00714086">
      <w:pPr>
        <w:spacing w:line="276" w:lineRule="auto"/>
        <w:ind w:right="-8"/>
        <w:jc w:val="center"/>
        <w:rPr>
          <w:rFonts w:ascii="Arial" w:hAnsi="Arial"/>
          <w:b/>
          <w:bCs/>
        </w:rPr>
      </w:pPr>
      <w:r w:rsidRPr="00B01843">
        <w:rPr>
          <w:rFonts w:ascii="Arial" w:hAnsi="Arial"/>
          <w:b/>
          <w:bCs/>
        </w:rPr>
        <w:t>Bogotá D.C.,</w:t>
      </w:r>
      <w:r w:rsidR="00F812BD" w:rsidRPr="00B01843">
        <w:rPr>
          <w:rFonts w:ascii="Arial" w:hAnsi="Arial"/>
          <w:b/>
          <w:bCs/>
        </w:rPr>
        <w:t xml:space="preserve"> dieciocho </w:t>
      </w:r>
      <w:r w:rsidRPr="00B01843">
        <w:rPr>
          <w:rFonts w:ascii="Arial" w:hAnsi="Arial"/>
          <w:b/>
          <w:bCs/>
        </w:rPr>
        <w:t>(</w:t>
      </w:r>
      <w:r w:rsidR="00F812BD" w:rsidRPr="00B01843">
        <w:rPr>
          <w:rFonts w:ascii="Arial" w:hAnsi="Arial"/>
          <w:b/>
          <w:bCs/>
        </w:rPr>
        <w:t>18</w:t>
      </w:r>
      <w:r w:rsidRPr="00B01843">
        <w:rPr>
          <w:rFonts w:ascii="Arial" w:hAnsi="Arial"/>
          <w:b/>
          <w:bCs/>
        </w:rPr>
        <w:t>) de</w:t>
      </w:r>
      <w:r w:rsidR="00F812BD" w:rsidRPr="00B01843">
        <w:rPr>
          <w:rFonts w:ascii="Arial" w:hAnsi="Arial"/>
          <w:b/>
          <w:bCs/>
        </w:rPr>
        <w:t xml:space="preserve"> junio </w:t>
      </w:r>
      <w:r w:rsidRPr="00B01843">
        <w:rPr>
          <w:rFonts w:ascii="Arial" w:hAnsi="Arial"/>
          <w:b/>
          <w:bCs/>
        </w:rPr>
        <w:t>de dos mil veinte (2020)</w:t>
      </w:r>
    </w:p>
    <w:p w14:paraId="2B646BA1" w14:textId="77777777" w:rsidR="00714086" w:rsidRPr="00B01843" w:rsidRDefault="00714086" w:rsidP="00714086">
      <w:pPr>
        <w:spacing w:line="276" w:lineRule="auto"/>
        <w:ind w:right="-8"/>
        <w:rPr>
          <w:rFonts w:ascii="Arial" w:hAnsi="Arial"/>
        </w:rPr>
      </w:pPr>
    </w:p>
    <w:p w14:paraId="47FBB69C" w14:textId="1907CBF6" w:rsidR="00736BE3" w:rsidRPr="008D2DBC" w:rsidRDefault="00F812BD" w:rsidP="00736BE3">
      <w:pPr>
        <w:widowControl w:val="0"/>
        <w:ind w:left="1985" w:hanging="1985"/>
        <w:rPr>
          <w:rFonts w:ascii="Arial" w:hAnsi="Arial"/>
          <w:b/>
        </w:rPr>
      </w:pPr>
      <w:r w:rsidRPr="008D2DBC">
        <w:rPr>
          <w:rFonts w:ascii="Arial" w:hAnsi="Arial"/>
          <w:b/>
        </w:rPr>
        <w:lastRenderedPageBreak/>
        <w:t>Referencia:</w:t>
      </w:r>
      <w:r w:rsidR="00736BE3" w:rsidRPr="008D2DBC">
        <w:rPr>
          <w:rFonts w:ascii="Arial" w:hAnsi="Arial"/>
          <w:b/>
        </w:rPr>
        <w:t xml:space="preserve">         </w:t>
      </w:r>
      <w:r w:rsidRPr="008D2DBC">
        <w:rPr>
          <w:rFonts w:ascii="Arial" w:hAnsi="Arial"/>
          <w:b/>
          <w:lang w:val="es-419"/>
        </w:rPr>
        <w:t xml:space="preserve">ACCIÓN DE </w:t>
      </w:r>
      <w:r w:rsidRPr="008D2DBC">
        <w:rPr>
          <w:rFonts w:ascii="Arial" w:hAnsi="Arial"/>
          <w:b/>
        </w:rPr>
        <w:t>TUTELA</w:t>
      </w:r>
    </w:p>
    <w:p w14:paraId="5B2861C0" w14:textId="77777777" w:rsidR="008D2DBC" w:rsidRPr="008D2DBC" w:rsidRDefault="008D2DBC" w:rsidP="00736BE3">
      <w:pPr>
        <w:widowControl w:val="0"/>
        <w:ind w:left="1985" w:hanging="1985"/>
        <w:rPr>
          <w:rFonts w:ascii="Arial" w:hAnsi="Arial"/>
          <w:b/>
        </w:rPr>
      </w:pPr>
    </w:p>
    <w:p w14:paraId="3774C9C1" w14:textId="7F660307" w:rsidR="00736BE3" w:rsidRPr="008D2DBC" w:rsidRDefault="00F812BD" w:rsidP="00736BE3">
      <w:pPr>
        <w:widowControl w:val="0"/>
        <w:ind w:left="1985" w:hanging="1985"/>
        <w:rPr>
          <w:rFonts w:ascii="Arial" w:hAnsi="Arial"/>
          <w:b/>
        </w:rPr>
      </w:pPr>
      <w:r w:rsidRPr="008D2DBC">
        <w:rPr>
          <w:rFonts w:ascii="Arial" w:hAnsi="Arial"/>
          <w:b/>
        </w:rPr>
        <w:t>Radicación</w:t>
      </w:r>
      <w:r w:rsidR="008D2DBC" w:rsidRPr="008D2DBC">
        <w:rPr>
          <w:rFonts w:ascii="Arial" w:hAnsi="Arial"/>
          <w:b/>
        </w:rPr>
        <w:t xml:space="preserve"> número</w:t>
      </w:r>
      <w:r w:rsidR="00203C2D" w:rsidRPr="008D2DBC">
        <w:rPr>
          <w:rFonts w:ascii="Arial" w:hAnsi="Arial"/>
          <w:b/>
        </w:rPr>
        <w:t>:</w:t>
      </w:r>
      <w:r w:rsidR="00736BE3" w:rsidRPr="008D2DBC">
        <w:rPr>
          <w:rFonts w:ascii="Arial" w:hAnsi="Arial"/>
          <w:b/>
        </w:rPr>
        <w:t xml:space="preserve"> </w:t>
      </w:r>
      <w:r w:rsidRPr="008D2DBC">
        <w:rPr>
          <w:rFonts w:ascii="Arial" w:hAnsi="Arial"/>
          <w:b/>
        </w:rPr>
        <w:t>11001-03-15-000-2020-00805-00</w:t>
      </w:r>
      <w:r w:rsidR="008D2DBC" w:rsidRPr="008D2DBC">
        <w:rPr>
          <w:rFonts w:ascii="Arial" w:hAnsi="Arial"/>
          <w:b/>
        </w:rPr>
        <w:t xml:space="preserve"> (AC)</w:t>
      </w:r>
    </w:p>
    <w:p w14:paraId="078F2193" w14:textId="77777777" w:rsidR="008D2DBC" w:rsidRPr="008D2DBC" w:rsidRDefault="008D2DBC" w:rsidP="00736BE3">
      <w:pPr>
        <w:widowControl w:val="0"/>
        <w:ind w:left="1985" w:hanging="1985"/>
        <w:rPr>
          <w:rFonts w:ascii="Arial" w:hAnsi="Arial"/>
          <w:b/>
        </w:rPr>
      </w:pPr>
    </w:p>
    <w:p w14:paraId="064A86B8" w14:textId="373AE43C" w:rsidR="00203C2D" w:rsidRPr="008D2DBC" w:rsidRDefault="008D2DBC" w:rsidP="00736BE3">
      <w:pPr>
        <w:widowControl w:val="0"/>
        <w:ind w:left="1701" w:hanging="1701"/>
        <w:rPr>
          <w:rFonts w:ascii="Arial" w:hAnsi="Arial"/>
          <w:b/>
        </w:rPr>
      </w:pPr>
      <w:r w:rsidRPr="008D2DBC">
        <w:rPr>
          <w:rFonts w:ascii="Arial" w:hAnsi="Arial"/>
          <w:b/>
        </w:rPr>
        <w:t xml:space="preserve">Actor: </w:t>
      </w:r>
      <w:r w:rsidR="00F812BD" w:rsidRPr="008D2DBC">
        <w:rPr>
          <w:rFonts w:ascii="Arial" w:hAnsi="Arial"/>
          <w:b/>
        </w:rPr>
        <w:t>HIPÓLITO NIETO BONILLA Y OTRO</w:t>
      </w:r>
    </w:p>
    <w:p w14:paraId="69529155" w14:textId="77777777" w:rsidR="008D2DBC" w:rsidRPr="008D2DBC" w:rsidRDefault="008D2DBC" w:rsidP="00736BE3">
      <w:pPr>
        <w:widowControl w:val="0"/>
        <w:ind w:left="1701" w:hanging="1701"/>
        <w:rPr>
          <w:rFonts w:ascii="Arial" w:hAnsi="Arial"/>
          <w:b/>
        </w:rPr>
      </w:pPr>
    </w:p>
    <w:p w14:paraId="14458BCE" w14:textId="5C84D2BF" w:rsidR="00714086" w:rsidRPr="008D2DBC" w:rsidRDefault="00F812BD" w:rsidP="00736BE3">
      <w:pPr>
        <w:widowControl w:val="0"/>
        <w:tabs>
          <w:tab w:val="left" w:pos="1985"/>
        </w:tabs>
        <w:ind w:left="1701" w:hanging="1701"/>
        <w:rPr>
          <w:rFonts w:ascii="Arial" w:hAnsi="Arial"/>
          <w:b/>
        </w:rPr>
      </w:pPr>
      <w:r w:rsidRPr="008D2DBC">
        <w:rPr>
          <w:rFonts w:ascii="Arial" w:hAnsi="Arial"/>
          <w:b/>
        </w:rPr>
        <w:t>Demandado:</w:t>
      </w:r>
      <w:r w:rsidR="008D2DBC" w:rsidRPr="008D2DBC">
        <w:rPr>
          <w:rFonts w:ascii="Arial" w:hAnsi="Arial"/>
          <w:b/>
        </w:rPr>
        <w:t xml:space="preserve"> </w:t>
      </w:r>
      <w:r w:rsidRPr="008D2DBC">
        <w:rPr>
          <w:rFonts w:ascii="Arial" w:hAnsi="Arial"/>
          <w:b/>
        </w:rPr>
        <w:t xml:space="preserve">CONSEJO DE ESTADO, SECCIÓN TERCERA, SUBSECCIÓN C </w:t>
      </w:r>
    </w:p>
    <w:p w14:paraId="03558156" w14:textId="7AE03B7E" w:rsidR="00736BE3" w:rsidRPr="00B01843" w:rsidRDefault="00736BE3" w:rsidP="00736BE3">
      <w:pPr>
        <w:widowControl w:val="0"/>
        <w:tabs>
          <w:tab w:val="left" w:pos="1985"/>
        </w:tabs>
        <w:ind w:left="1701" w:hanging="1701"/>
        <w:rPr>
          <w:rFonts w:ascii="Arial" w:hAnsi="Arial"/>
        </w:rPr>
      </w:pPr>
    </w:p>
    <w:p w14:paraId="12C38878" w14:textId="77777777" w:rsidR="00714086" w:rsidRPr="00B01843" w:rsidRDefault="00714086" w:rsidP="00714086">
      <w:pPr>
        <w:pBdr>
          <w:bottom w:val="single" w:sz="12" w:space="0" w:color="auto"/>
        </w:pBdr>
        <w:spacing w:line="276" w:lineRule="auto"/>
        <w:ind w:left="2832" w:right="-8" w:hanging="2832"/>
        <w:rPr>
          <w:rFonts w:ascii="Arial" w:hAnsi="Arial"/>
          <w:b/>
        </w:rPr>
      </w:pPr>
      <w:r w:rsidRPr="00B01843">
        <w:rPr>
          <w:rFonts w:ascii="Arial" w:hAnsi="Arial"/>
          <w:b/>
        </w:rPr>
        <w:t>SENTENCIA DE PRIMERA INSTANCIA</w:t>
      </w:r>
    </w:p>
    <w:p w14:paraId="72572B99" w14:textId="77777777" w:rsidR="00714086" w:rsidRPr="00B01843" w:rsidRDefault="00714086" w:rsidP="00714086">
      <w:pPr>
        <w:overflowPunct w:val="0"/>
        <w:autoSpaceDE w:val="0"/>
        <w:autoSpaceDN w:val="0"/>
        <w:adjustRightInd w:val="0"/>
        <w:spacing w:line="276" w:lineRule="auto"/>
        <w:ind w:right="-8"/>
        <w:rPr>
          <w:rFonts w:ascii="Arial" w:eastAsia="Times New Roman" w:hAnsi="Arial"/>
          <w:lang w:val="es-ES_tradnl" w:eastAsia="es-ES"/>
        </w:rPr>
      </w:pPr>
    </w:p>
    <w:p w14:paraId="1B61D56A" w14:textId="77777777" w:rsidR="00203C2D" w:rsidRPr="00B01843" w:rsidRDefault="00714086" w:rsidP="00203C2D">
      <w:pPr>
        <w:overflowPunct w:val="0"/>
        <w:autoSpaceDE w:val="0"/>
        <w:autoSpaceDN w:val="0"/>
        <w:adjustRightInd w:val="0"/>
        <w:spacing w:line="276" w:lineRule="auto"/>
        <w:ind w:right="-8"/>
        <w:rPr>
          <w:rFonts w:ascii="Arial" w:hAnsi="Arial"/>
        </w:rPr>
      </w:pPr>
      <w:r w:rsidRPr="00B01843">
        <w:rPr>
          <w:rFonts w:ascii="Arial" w:hAnsi="Arial"/>
        </w:rPr>
        <w:t>Procede la Sala a decidir la solicitud presentada por los señores</w:t>
      </w:r>
      <w:r w:rsidR="007B1D4E" w:rsidRPr="00B01843">
        <w:rPr>
          <w:rFonts w:ascii="Arial" w:hAnsi="Arial"/>
        </w:rPr>
        <w:t xml:space="preserve"> Hipólito Nieto Bonilla y Jorge Iván Ríos Muñoz</w:t>
      </w:r>
      <w:r w:rsidRPr="00B01843">
        <w:rPr>
          <w:rFonts w:ascii="Arial" w:hAnsi="Arial"/>
        </w:rPr>
        <w:t xml:space="preserve">, en ejercicio de la acción de tutela </w:t>
      </w:r>
      <w:r w:rsidR="007B1D4E" w:rsidRPr="00B01843">
        <w:rPr>
          <w:rFonts w:ascii="Arial" w:hAnsi="Arial"/>
        </w:rPr>
        <w:t xml:space="preserve">prevista </w:t>
      </w:r>
      <w:r w:rsidRPr="00B01843">
        <w:rPr>
          <w:rFonts w:ascii="Arial" w:hAnsi="Arial"/>
        </w:rPr>
        <w:t>en el artículo 86 de la Constitución Política y de conformidad con lo dispuesto en el Decreto 2591 de 1991.</w:t>
      </w:r>
    </w:p>
    <w:p w14:paraId="5B4D6A7B" w14:textId="77777777" w:rsidR="00203C2D" w:rsidRPr="00B01843" w:rsidRDefault="00203C2D" w:rsidP="00203C2D">
      <w:pPr>
        <w:overflowPunct w:val="0"/>
        <w:autoSpaceDE w:val="0"/>
        <w:autoSpaceDN w:val="0"/>
        <w:adjustRightInd w:val="0"/>
        <w:spacing w:line="276" w:lineRule="auto"/>
        <w:ind w:right="-8"/>
        <w:rPr>
          <w:rFonts w:ascii="Arial" w:hAnsi="Arial"/>
        </w:rPr>
      </w:pPr>
    </w:p>
    <w:p w14:paraId="7F6A9682" w14:textId="13450E97" w:rsidR="00714086" w:rsidRPr="00B01843" w:rsidRDefault="00714086" w:rsidP="00203C2D">
      <w:pPr>
        <w:overflowPunct w:val="0"/>
        <w:autoSpaceDE w:val="0"/>
        <w:autoSpaceDN w:val="0"/>
        <w:adjustRightInd w:val="0"/>
        <w:spacing w:line="276" w:lineRule="auto"/>
        <w:ind w:right="-8"/>
        <w:jc w:val="center"/>
        <w:rPr>
          <w:rFonts w:ascii="Arial" w:hAnsi="Arial"/>
        </w:rPr>
      </w:pPr>
      <w:r w:rsidRPr="00B01843">
        <w:rPr>
          <w:rFonts w:ascii="Arial" w:hAnsi="Arial"/>
          <w:b/>
        </w:rPr>
        <w:t>I. ANTECEDENTES</w:t>
      </w:r>
    </w:p>
    <w:p w14:paraId="371CE580" w14:textId="77777777" w:rsidR="00714086" w:rsidRPr="00B01843" w:rsidRDefault="00714086" w:rsidP="00714086">
      <w:pPr>
        <w:spacing w:line="276" w:lineRule="auto"/>
        <w:ind w:right="-8"/>
        <w:rPr>
          <w:rFonts w:ascii="Arial" w:hAnsi="Arial"/>
          <w:b/>
        </w:rPr>
      </w:pPr>
    </w:p>
    <w:p w14:paraId="6A9D32BE" w14:textId="77777777" w:rsidR="00714086" w:rsidRPr="00B01843" w:rsidRDefault="00714086" w:rsidP="00714086">
      <w:pPr>
        <w:spacing w:line="276" w:lineRule="auto"/>
        <w:ind w:right="-8"/>
        <w:rPr>
          <w:rFonts w:ascii="Arial" w:hAnsi="Arial"/>
          <w:b/>
        </w:rPr>
      </w:pPr>
      <w:r w:rsidRPr="00B01843">
        <w:rPr>
          <w:rFonts w:ascii="Arial" w:hAnsi="Arial"/>
          <w:b/>
        </w:rPr>
        <w:t xml:space="preserve">1. Petición de amparo constitucional </w:t>
      </w:r>
    </w:p>
    <w:p w14:paraId="2BB09BA9" w14:textId="77777777" w:rsidR="00714086" w:rsidRPr="00B01843" w:rsidRDefault="00714086" w:rsidP="00714086">
      <w:pPr>
        <w:spacing w:line="276" w:lineRule="auto"/>
        <w:ind w:right="-8"/>
        <w:rPr>
          <w:rFonts w:ascii="Arial" w:hAnsi="Arial"/>
        </w:rPr>
      </w:pPr>
    </w:p>
    <w:p w14:paraId="12E41C17" w14:textId="7CFE2797" w:rsidR="00203C2D" w:rsidRPr="00B01843" w:rsidRDefault="00714086" w:rsidP="00203C2D">
      <w:pPr>
        <w:tabs>
          <w:tab w:val="left" w:pos="1985"/>
        </w:tabs>
        <w:spacing w:line="276" w:lineRule="auto"/>
        <w:rPr>
          <w:rFonts w:ascii="Arial" w:hAnsi="Arial"/>
        </w:rPr>
      </w:pPr>
      <w:r w:rsidRPr="00B01843">
        <w:rPr>
          <w:rFonts w:ascii="Arial" w:hAnsi="Arial"/>
        </w:rPr>
        <w:t>Los señores</w:t>
      </w:r>
      <w:r w:rsidR="007B1D4E" w:rsidRPr="00B01843">
        <w:rPr>
          <w:rFonts w:ascii="Arial" w:hAnsi="Arial"/>
        </w:rPr>
        <w:t xml:space="preserve"> Hipólito Nieto Bonilla y Jorge Iván Ríos Muñoz</w:t>
      </w:r>
      <w:r w:rsidRPr="00B01843">
        <w:rPr>
          <w:rFonts w:ascii="Arial" w:hAnsi="Arial"/>
        </w:rPr>
        <w:t>, por conducto de apoderado, promovieron acción de tutela</w:t>
      </w:r>
      <w:r w:rsidRPr="00B01843">
        <w:rPr>
          <w:rStyle w:val="Refdenotaalpie"/>
          <w:rFonts w:ascii="Arial" w:hAnsi="Arial"/>
        </w:rPr>
        <w:footnoteReference w:id="1"/>
      </w:r>
      <w:r w:rsidRPr="00B01843">
        <w:rPr>
          <w:rFonts w:ascii="Arial" w:hAnsi="Arial"/>
        </w:rPr>
        <w:t xml:space="preserve"> </w:t>
      </w:r>
      <w:r w:rsidR="00250226" w:rsidRPr="00B01843">
        <w:rPr>
          <w:rFonts w:ascii="Arial" w:hAnsi="Arial"/>
        </w:rPr>
        <w:t>con el fin de obtener la protección de sus derechos fundamentales al debido proceso</w:t>
      </w:r>
      <w:r w:rsidR="00082801" w:rsidRPr="00B01843">
        <w:rPr>
          <w:rFonts w:ascii="Arial" w:hAnsi="Arial"/>
        </w:rPr>
        <w:t xml:space="preserve"> </w:t>
      </w:r>
      <w:r w:rsidR="00250226" w:rsidRPr="00B01843">
        <w:rPr>
          <w:rFonts w:ascii="Arial" w:hAnsi="Arial"/>
        </w:rPr>
        <w:t>y a la igualdad</w:t>
      </w:r>
      <w:r w:rsidR="007E2269" w:rsidRPr="00B01843">
        <w:rPr>
          <w:rFonts w:ascii="Arial" w:hAnsi="Arial"/>
        </w:rPr>
        <w:t xml:space="preserve">, los cuales consideraron vulnerados </w:t>
      </w:r>
      <w:r w:rsidR="00250226" w:rsidRPr="00B01843">
        <w:rPr>
          <w:rFonts w:ascii="Arial" w:hAnsi="Arial"/>
        </w:rPr>
        <w:t>con ocasión de la providencia de 29 de julio de 2019</w:t>
      </w:r>
      <w:r w:rsidR="000C126C" w:rsidRPr="00B01843">
        <w:rPr>
          <w:rFonts w:ascii="Arial" w:hAnsi="Arial"/>
        </w:rPr>
        <w:t xml:space="preserve">, </w:t>
      </w:r>
      <w:r w:rsidR="0071310F" w:rsidRPr="00B01843">
        <w:rPr>
          <w:rFonts w:ascii="Arial" w:hAnsi="Arial"/>
        </w:rPr>
        <w:t>proferida</w:t>
      </w:r>
      <w:r w:rsidR="000C126C" w:rsidRPr="00B01843">
        <w:rPr>
          <w:rFonts w:ascii="Arial" w:hAnsi="Arial"/>
        </w:rPr>
        <w:t xml:space="preserve"> </w:t>
      </w:r>
      <w:r w:rsidR="0071310F" w:rsidRPr="00B01843">
        <w:rPr>
          <w:rFonts w:ascii="Arial" w:hAnsi="Arial"/>
        </w:rPr>
        <w:t>por el Consejo de Estado, Sección Tercera, Subsección C</w:t>
      </w:r>
      <w:r w:rsidR="000C126C" w:rsidRPr="00B01843">
        <w:rPr>
          <w:rFonts w:ascii="Arial" w:hAnsi="Arial"/>
        </w:rPr>
        <w:t xml:space="preserve">, mediante la cual revocó la decisión de primera instancia </w:t>
      </w:r>
      <w:r w:rsidR="0071310F" w:rsidRPr="00B01843">
        <w:rPr>
          <w:rFonts w:ascii="Arial" w:hAnsi="Arial"/>
        </w:rPr>
        <w:t>y</w:t>
      </w:r>
      <w:r w:rsidR="000C126C" w:rsidRPr="00B01843">
        <w:rPr>
          <w:rFonts w:ascii="Arial" w:hAnsi="Arial"/>
        </w:rPr>
        <w:t>, en su lugar, denegó las pretensiones de la demanda dentro del</w:t>
      </w:r>
      <w:r w:rsidR="00250226" w:rsidRPr="00B01843">
        <w:rPr>
          <w:rFonts w:ascii="Arial" w:hAnsi="Arial"/>
        </w:rPr>
        <w:t xml:space="preserve"> medio de control de reparación directa que promovieron</w:t>
      </w:r>
      <w:r w:rsidR="007E2269" w:rsidRPr="00B01843">
        <w:rPr>
          <w:rFonts w:ascii="Arial" w:hAnsi="Arial"/>
        </w:rPr>
        <w:t xml:space="preserve"> </w:t>
      </w:r>
      <w:r w:rsidR="000C126C" w:rsidRPr="00B01843">
        <w:rPr>
          <w:rFonts w:ascii="Arial" w:hAnsi="Arial"/>
        </w:rPr>
        <w:t>junto con otros</w:t>
      </w:r>
      <w:r w:rsidR="00250226" w:rsidRPr="00B01843">
        <w:rPr>
          <w:rFonts w:ascii="Arial" w:hAnsi="Arial"/>
        </w:rPr>
        <w:t xml:space="preserve"> contra la Nación, Fiscalía General de la Nación, Ministerio de Defensa, Policía Nacional</w:t>
      </w:r>
      <w:r w:rsidR="001057F3" w:rsidRPr="00B01843">
        <w:rPr>
          <w:rFonts w:ascii="Arial" w:hAnsi="Arial"/>
        </w:rPr>
        <w:t xml:space="preserve"> bajo radicado 11001-33-31-034-2007-00323-01.</w:t>
      </w:r>
    </w:p>
    <w:p w14:paraId="318838FF" w14:textId="77777777" w:rsidR="006D15C0" w:rsidRDefault="006D15C0" w:rsidP="00203C2D">
      <w:pPr>
        <w:tabs>
          <w:tab w:val="left" w:pos="1985"/>
        </w:tabs>
        <w:spacing w:line="276" w:lineRule="auto"/>
        <w:rPr>
          <w:rFonts w:ascii="Arial" w:hAnsi="Arial"/>
          <w:lang w:val="es-ES_tradnl"/>
        </w:rPr>
      </w:pPr>
    </w:p>
    <w:p w14:paraId="7484C074" w14:textId="04CC6D42" w:rsidR="00714086" w:rsidRPr="00B01843" w:rsidRDefault="00714086" w:rsidP="00203C2D">
      <w:pPr>
        <w:tabs>
          <w:tab w:val="left" w:pos="1985"/>
        </w:tabs>
        <w:spacing w:line="276" w:lineRule="auto"/>
        <w:rPr>
          <w:rFonts w:ascii="Arial" w:hAnsi="Arial"/>
        </w:rPr>
      </w:pPr>
      <w:r w:rsidRPr="00B01843">
        <w:rPr>
          <w:rFonts w:ascii="Arial" w:hAnsi="Arial"/>
          <w:lang w:val="es-ES_tradnl"/>
        </w:rPr>
        <w:t>En consecuencia, solicitaron:</w:t>
      </w:r>
    </w:p>
    <w:p w14:paraId="23D81741" w14:textId="77777777" w:rsidR="00714086" w:rsidRPr="00B01843" w:rsidRDefault="00714086" w:rsidP="00714086">
      <w:pPr>
        <w:tabs>
          <w:tab w:val="left" w:pos="3836"/>
        </w:tabs>
        <w:spacing w:line="276" w:lineRule="auto"/>
        <w:ind w:right="-8"/>
        <w:rPr>
          <w:rFonts w:ascii="Arial" w:hAnsi="Arial"/>
          <w:lang w:val="es-ES_tradnl"/>
        </w:rPr>
      </w:pPr>
      <w:r w:rsidRPr="00B01843">
        <w:rPr>
          <w:rFonts w:ascii="Arial" w:hAnsi="Arial"/>
          <w:lang w:val="es-ES_tradnl"/>
        </w:rPr>
        <w:tab/>
      </w:r>
    </w:p>
    <w:p w14:paraId="3400EEDB" w14:textId="77777777" w:rsidR="0011326E" w:rsidRPr="00B01843" w:rsidRDefault="00714086" w:rsidP="0011326E">
      <w:pPr>
        <w:ind w:left="284" w:right="276"/>
        <w:rPr>
          <w:rFonts w:ascii="Arial" w:hAnsi="Arial"/>
          <w:i/>
          <w:sz w:val="22"/>
          <w:szCs w:val="22"/>
        </w:rPr>
      </w:pPr>
      <w:r w:rsidRPr="00B01843">
        <w:rPr>
          <w:rFonts w:ascii="Arial" w:hAnsi="Arial"/>
          <w:i/>
          <w:sz w:val="22"/>
          <w:szCs w:val="22"/>
          <w:lang w:val="es-ES_tradnl"/>
        </w:rPr>
        <w:t>“</w:t>
      </w:r>
      <w:r w:rsidR="00250226" w:rsidRPr="00B01843">
        <w:rPr>
          <w:rFonts w:ascii="Arial" w:hAnsi="Arial"/>
          <w:i/>
          <w:sz w:val="22"/>
          <w:szCs w:val="22"/>
          <w:u w:val="single"/>
          <w:lang w:val="es-ES_tradnl"/>
        </w:rPr>
        <w:t>3.1.</w:t>
      </w:r>
      <w:r w:rsidR="00250226" w:rsidRPr="00B01843">
        <w:rPr>
          <w:rFonts w:ascii="Arial" w:hAnsi="Arial"/>
          <w:i/>
          <w:sz w:val="22"/>
          <w:szCs w:val="22"/>
          <w:lang w:val="es-ES_tradnl"/>
        </w:rPr>
        <w:t xml:space="preserve"> Se ampare en favor de los accionantes </w:t>
      </w:r>
      <w:r w:rsidR="00250226" w:rsidRPr="00B01843">
        <w:rPr>
          <w:rFonts w:ascii="Arial" w:hAnsi="Arial"/>
          <w:i/>
          <w:sz w:val="22"/>
          <w:szCs w:val="22"/>
        </w:rPr>
        <w:t xml:space="preserve">HIPÓLITO NIETO BONILLA Y JORGE IVÁN RÍOS MUÑOZ y los terceros interesados, su derecho a la igualdad, al debido proceso, a la reparación integral de daños y perjuicios de todo orden causados con la privación injusta de su libertad. </w:t>
      </w:r>
    </w:p>
    <w:p w14:paraId="22D82406" w14:textId="77777777" w:rsidR="00250226" w:rsidRPr="00B01843" w:rsidRDefault="00250226" w:rsidP="0011326E">
      <w:pPr>
        <w:ind w:left="284" w:right="276"/>
        <w:rPr>
          <w:rFonts w:ascii="Arial" w:hAnsi="Arial"/>
          <w:i/>
          <w:sz w:val="22"/>
          <w:szCs w:val="22"/>
        </w:rPr>
      </w:pPr>
    </w:p>
    <w:p w14:paraId="3EE98E22" w14:textId="4E2F7ADF" w:rsidR="00940179" w:rsidRPr="00B01843" w:rsidRDefault="00250226" w:rsidP="00203C2D">
      <w:pPr>
        <w:ind w:left="284" w:right="276"/>
        <w:rPr>
          <w:rFonts w:ascii="Arial" w:hAnsi="Arial"/>
          <w:i/>
          <w:sz w:val="22"/>
          <w:szCs w:val="22"/>
        </w:rPr>
      </w:pPr>
      <w:r w:rsidRPr="00B01843">
        <w:rPr>
          <w:rFonts w:ascii="Arial" w:hAnsi="Arial"/>
          <w:i/>
          <w:sz w:val="22"/>
          <w:szCs w:val="22"/>
        </w:rPr>
        <w:t xml:space="preserve">3.2. Consecuencia de dicha declaración, </w:t>
      </w:r>
      <w:r w:rsidRPr="00B01843">
        <w:rPr>
          <w:rFonts w:ascii="Arial" w:hAnsi="Arial"/>
          <w:b/>
          <w:bCs/>
          <w:i/>
          <w:sz w:val="22"/>
          <w:szCs w:val="22"/>
        </w:rPr>
        <w:t>DEJAR SIN EFECTOS</w:t>
      </w:r>
      <w:r w:rsidRPr="00B01843">
        <w:rPr>
          <w:rFonts w:ascii="Arial" w:hAnsi="Arial"/>
          <w:i/>
          <w:sz w:val="22"/>
          <w:szCs w:val="22"/>
        </w:rPr>
        <w:t xml:space="preserve"> la sentencia del 29 de julio de 2019, proferida por la Subsección “C” de la Sección Tercera del Consejo de Estado dentro del proceso de reparación directa bajo radicado 11001333103420070032300 (49028) y ordenar a dicha autoridad que, en el término de 30 días, profiera un fallo de reemplazo en el que se valore la atipicidad y/o inexistencia de la conducta penal endilgada a los actores para la fecha de su detención (julio de 2004) bajo el régimen de carácter objetivo con respaldo en los preceptos del artículo 90 de la constitución nacional </w:t>
      </w:r>
      <w:r w:rsidRPr="00B01843">
        <w:rPr>
          <w:rFonts w:ascii="Arial" w:hAnsi="Arial"/>
          <w:iCs/>
          <w:sz w:val="22"/>
          <w:szCs w:val="22"/>
        </w:rPr>
        <w:t xml:space="preserve">(sic) </w:t>
      </w:r>
      <w:r w:rsidRPr="00B01843">
        <w:rPr>
          <w:rFonts w:ascii="Arial" w:hAnsi="Arial"/>
          <w:i/>
          <w:sz w:val="22"/>
          <w:szCs w:val="22"/>
        </w:rPr>
        <w:t xml:space="preserve">y el artículo 65 de la ley </w:t>
      </w:r>
      <w:r w:rsidRPr="00B01843">
        <w:rPr>
          <w:rFonts w:ascii="Arial" w:hAnsi="Arial"/>
          <w:iCs/>
          <w:sz w:val="22"/>
          <w:szCs w:val="22"/>
        </w:rPr>
        <w:t xml:space="preserve">(sic) </w:t>
      </w:r>
      <w:r w:rsidRPr="00B01843">
        <w:rPr>
          <w:rFonts w:ascii="Arial" w:hAnsi="Arial"/>
          <w:i/>
          <w:sz w:val="22"/>
          <w:szCs w:val="22"/>
        </w:rPr>
        <w:t xml:space="preserve">270 de 1996, cuya doctrina tenia sentada la corporación para resolver casos de privación de la libertad, ya que la sentencia de unificación de la misma corporación del 15 de agosto de 2018 dentro del expediente No.66001-23-31-000-2010-00235-01 (46947), </w:t>
      </w:r>
      <w:r w:rsidRPr="00B01843">
        <w:rPr>
          <w:rFonts w:ascii="Arial" w:hAnsi="Arial"/>
          <w:b/>
          <w:bCs/>
          <w:i/>
          <w:sz w:val="22"/>
          <w:szCs w:val="22"/>
        </w:rPr>
        <w:t xml:space="preserve">NO MODULÓ, NI ANUNCIÓ LA FIGURA DE LA JURISPRUDENCIA </w:t>
      </w:r>
      <w:r w:rsidRPr="00B01843">
        <w:rPr>
          <w:rFonts w:ascii="Arial" w:hAnsi="Arial"/>
          <w:b/>
          <w:bCs/>
          <w:i/>
          <w:sz w:val="22"/>
          <w:szCs w:val="22"/>
        </w:rPr>
        <w:lastRenderedPageBreak/>
        <w:t>ANUNCIADA</w:t>
      </w:r>
      <w:r w:rsidRPr="00B01843">
        <w:rPr>
          <w:rFonts w:ascii="Arial" w:hAnsi="Arial"/>
          <w:i/>
          <w:sz w:val="22"/>
          <w:szCs w:val="22"/>
        </w:rPr>
        <w:t xml:space="preserve"> para resolver casos similares con los parámetros señalados a partir de dicha unificación, vulnerando con ello el debido proceso y la confianza legítima de los actores frente a la jurisprudencia aplicable para la época de los hechos</w:t>
      </w:r>
      <w:r w:rsidR="00940179" w:rsidRPr="00B01843">
        <w:rPr>
          <w:rFonts w:ascii="Arial" w:hAnsi="Arial"/>
          <w:i/>
          <w:sz w:val="22"/>
          <w:szCs w:val="22"/>
        </w:rPr>
        <w:t>.</w:t>
      </w:r>
    </w:p>
    <w:p w14:paraId="0F247A3F" w14:textId="77777777" w:rsidR="00194EF5" w:rsidRPr="00B01843" w:rsidRDefault="00194EF5" w:rsidP="00203C2D">
      <w:pPr>
        <w:ind w:left="284" w:right="276"/>
        <w:rPr>
          <w:rFonts w:ascii="Arial" w:hAnsi="Arial"/>
          <w:i/>
          <w:sz w:val="22"/>
          <w:szCs w:val="22"/>
        </w:rPr>
      </w:pPr>
    </w:p>
    <w:p w14:paraId="5FF50EE2" w14:textId="50027424" w:rsidR="00940179" w:rsidRPr="00B01843" w:rsidRDefault="00940179" w:rsidP="00203C2D">
      <w:pPr>
        <w:ind w:left="284" w:right="276"/>
        <w:rPr>
          <w:rFonts w:ascii="Arial" w:hAnsi="Arial"/>
          <w:i/>
          <w:sz w:val="22"/>
          <w:szCs w:val="22"/>
        </w:rPr>
      </w:pPr>
      <w:r w:rsidRPr="00B01843">
        <w:rPr>
          <w:rFonts w:ascii="Arial" w:hAnsi="Arial"/>
          <w:i/>
          <w:sz w:val="22"/>
          <w:szCs w:val="22"/>
        </w:rPr>
        <w:t xml:space="preserve">(...) </w:t>
      </w:r>
    </w:p>
    <w:p w14:paraId="0196C89A" w14:textId="77777777" w:rsidR="00194EF5" w:rsidRPr="00B01843" w:rsidRDefault="00194EF5" w:rsidP="00203C2D">
      <w:pPr>
        <w:ind w:left="284" w:right="276"/>
        <w:rPr>
          <w:rFonts w:ascii="Arial" w:hAnsi="Arial"/>
          <w:i/>
          <w:sz w:val="22"/>
          <w:szCs w:val="22"/>
        </w:rPr>
      </w:pPr>
    </w:p>
    <w:p w14:paraId="5748EE29" w14:textId="77777777" w:rsidR="00940179" w:rsidRPr="00B01843" w:rsidRDefault="00940179" w:rsidP="00940179">
      <w:pPr>
        <w:ind w:left="284" w:right="276"/>
        <w:rPr>
          <w:rFonts w:ascii="Arial" w:hAnsi="Arial"/>
          <w:b/>
          <w:bCs/>
          <w:i/>
          <w:sz w:val="22"/>
          <w:szCs w:val="22"/>
          <w:u w:val="single"/>
        </w:rPr>
      </w:pPr>
      <w:r w:rsidRPr="00B01843">
        <w:rPr>
          <w:rFonts w:ascii="Arial" w:hAnsi="Arial"/>
          <w:b/>
          <w:bCs/>
          <w:i/>
          <w:sz w:val="22"/>
          <w:szCs w:val="22"/>
          <w:u w:val="single"/>
        </w:rPr>
        <w:t xml:space="preserve">CONSIDERACIÓN y PETICIÓN FINAL </w:t>
      </w:r>
    </w:p>
    <w:p w14:paraId="23E5709D" w14:textId="77777777" w:rsidR="00940179" w:rsidRPr="00B01843" w:rsidRDefault="00940179" w:rsidP="00940179">
      <w:pPr>
        <w:ind w:left="284" w:right="276"/>
        <w:rPr>
          <w:rFonts w:ascii="Arial" w:hAnsi="Arial"/>
          <w:i/>
          <w:sz w:val="22"/>
          <w:szCs w:val="22"/>
        </w:rPr>
      </w:pPr>
    </w:p>
    <w:p w14:paraId="341E0915" w14:textId="0972AC8A" w:rsidR="00714086" w:rsidRPr="00B01843" w:rsidRDefault="00940179" w:rsidP="00203C2D">
      <w:pPr>
        <w:ind w:left="284" w:right="276"/>
        <w:rPr>
          <w:rFonts w:ascii="Arial" w:hAnsi="Arial"/>
          <w:i/>
          <w:sz w:val="22"/>
          <w:szCs w:val="22"/>
          <w:lang w:val="es-ES_tradnl"/>
        </w:rPr>
      </w:pPr>
      <w:r w:rsidRPr="00B01843">
        <w:rPr>
          <w:rFonts w:ascii="Arial" w:hAnsi="Arial"/>
          <w:i/>
          <w:sz w:val="22"/>
          <w:szCs w:val="22"/>
        </w:rPr>
        <w:t xml:space="preserve">En el evento que el Juez de tutela no acoja los argumentos en favor de los actores conforme a las anteriores consideraciones de orden fáctico y jurídico frente a los defectos que adolece el fallo de segunda instancia, solicito </w:t>
      </w:r>
      <w:r w:rsidRPr="00B01843">
        <w:rPr>
          <w:rFonts w:ascii="Arial" w:hAnsi="Arial"/>
          <w:b/>
          <w:bCs/>
          <w:i/>
          <w:sz w:val="22"/>
          <w:szCs w:val="22"/>
        </w:rPr>
        <w:t>DEJAR SIN EFECTOS</w:t>
      </w:r>
      <w:r w:rsidRPr="00B01843">
        <w:rPr>
          <w:rFonts w:ascii="Arial" w:hAnsi="Arial"/>
          <w:i/>
          <w:sz w:val="22"/>
          <w:szCs w:val="22"/>
        </w:rPr>
        <w:t xml:space="preserve"> la sentencia de 29 de julio de 2019, prof</w:t>
      </w:r>
      <w:r w:rsidR="0032396D" w:rsidRPr="00B01843">
        <w:rPr>
          <w:rFonts w:ascii="Arial" w:hAnsi="Arial"/>
          <w:i/>
          <w:sz w:val="22"/>
          <w:szCs w:val="22"/>
        </w:rPr>
        <w:t xml:space="preserve">erida por la Subsección “C” de la Sección Tercera del Consejo de Estado.... y ordenar a dicha autoridad judicial que, en el término de 30 días, profiera un fallo de reemplazo en el que valore la culpa de las víctimas frente al eximente de responsabilidad propuesto por la entidad demandada Fiscalía General de la Nación que denominó: </w:t>
      </w:r>
      <w:r w:rsidR="0032396D" w:rsidRPr="00B01843">
        <w:rPr>
          <w:rFonts w:ascii="Arial" w:hAnsi="Arial"/>
          <w:b/>
          <w:bCs/>
          <w:i/>
          <w:sz w:val="22"/>
          <w:szCs w:val="22"/>
        </w:rPr>
        <w:t>“CULPA EXCLUSIVA DE UN TERCERO”</w:t>
      </w:r>
      <w:r w:rsidR="0032396D" w:rsidRPr="00B01843">
        <w:rPr>
          <w:rFonts w:ascii="Arial" w:hAnsi="Arial"/>
          <w:i/>
          <w:sz w:val="22"/>
          <w:szCs w:val="22"/>
        </w:rPr>
        <w:t>,</w:t>
      </w:r>
      <w:r w:rsidR="00C72BFE" w:rsidRPr="00B01843">
        <w:rPr>
          <w:rFonts w:ascii="Arial" w:hAnsi="Arial"/>
          <w:i/>
          <w:sz w:val="22"/>
          <w:szCs w:val="22"/>
        </w:rPr>
        <w:t xml:space="preserve"> </w:t>
      </w:r>
      <w:r w:rsidR="0032396D" w:rsidRPr="00B01843">
        <w:rPr>
          <w:rFonts w:ascii="Arial" w:hAnsi="Arial"/>
          <w:i/>
          <w:sz w:val="22"/>
          <w:szCs w:val="22"/>
        </w:rPr>
        <w:t>con los parámetros establecidos en la sentencia de unificación de la misma corporación del 15 de agosto de 2018..., situación que comporta un defecto de orden fáctico, ya que dicho análisis no se verificó.”</w:t>
      </w:r>
    </w:p>
    <w:p w14:paraId="7F4F407E" w14:textId="77777777" w:rsidR="00714086" w:rsidRPr="00B01843" w:rsidRDefault="00714086" w:rsidP="00714086">
      <w:pPr>
        <w:spacing w:line="276" w:lineRule="auto"/>
        <w:ind w:left="284" w:right="276"/>
        <w:rPr>
          <w:rFonts w:ascii="Arial" w:hAnsi="Arial"/>
          <w:i/>
          <w:sz w:val="22"/>
          <w:szCs w:val="22"/>
          <w:lang w:val="es-ES_tradnl"/>
        </w:rPr>
      </w:pPr>
    </w:p>
    <w:p w14:paraId="1E6A281F" w14:textId="77777777" w:rsidR="00714086" w:rsidRPr="00B01843" w:rsidRDefault="00714086" w:rsidP="00714086">
      <w:pPr>
        <w:widowControl w:val="0"/>
        <w:spacing w:line="276" w:lineRule="auto"/>
        <w:rPr>
          <w:rFonts w:ascii="Arial" w:hAnsi="Arial"/>
          <w:i/>
        </w:rPr>
      </w:pPr>
      <w:r w:rsidRPr="00B01843">
        <w:rPr>
          <w:rFonts w:ascii="Arial" w:hAnsi="Arial"/>
        </w:rPr>
        <w:t>La petición de tutela, tuvo como fundamento los siguientes:</w:t>
      </w:r>
    </w:p>
    <w:p w14:paraId="6991FAF6" w14:textId="77777777" w:rsidR="00714086" w:rsidRPr="00B01843" w:rsidRDefault="00714086" w:rsidP="00714086">
      <w:pPr>
        <w:spacing w:line="276" w:lineRule="auto"/>
        <w:ind w:right="-8"/>
        <w:rPr>
          <w:rFonts w:ascii="Arial" w:hAnsi="Arial"/>
          <w:b/>
        </w:rPr>
      </w:pPr>
    </w:p>
    <w:p w14:paraId="20559712" w14:textId="77777777" w:rsidR="00714086" w:rsidRPr="00B01843" w:rsidRDefault="00714086" w:rsidP="00714086">
      <w:pPr>
        <w:spacing w:line="276" w:lineRule="auto"/>
        <w:ind w:right="-8"/>
        <w:rPr>
          <w:rFonts w:ascii="Arial" w:hAnsi="Arial"/>
          <w:b/>
        </w:rPr>
      </w:pPr>
      <w:r w:rsidRPr="00B01843">
        <w:rPr>
          <w:rFonts w:ascii="Arial" w:hAnsi="Arial"/>
          <w:b/>
        </w:rPr>
        <w:t>2. Hechos</w:t>
      </w:r>
    </w:p>
    <w:p w14:paraId="0E915001" w14:textId="77777777" w:rsidR="00714086" w:rsidRPr="00B01843" w:rsidRDefault="00714086" w:rsidP="00714086">
      <w:pPr>
        <w:widowControl w:val="0"/>
        <w:spacing w:line="276" w:lineRule="auto"/>
        <w:ind w:right="-8"/>
        <w:contextualSpacing/>
        <w:rPr>
          <w:rFonts w:ascii="Arial" w:hAnsi="Arial"/>
        </w:rPr>
      </w:pPr>
    </w:p>
    <w:p w14:paraId="0FB828C7" w14:textId="77777777" w:rsidR="00194EF5" w:rsidRPr="00B01843" w:rsidRDefault="00714086" w:rsidP="00194EF5">
      <w:pPr>
        <w:spacing w:line="276" w:lineRule="auto"/>
        <w:ind w:right="-8"/>
        <w:contextualSpacing/>
        <w:rPr>
          <w:rFonts w:ascii="Arial" w:hAnsi="Arial"/>
        </w:rPr>
      </w:pPr>
      <w:r w:rsidRPr="00B01843">
        <w:rPr>
          <w:rFonts w:ascii="Arial" w:hAnsi="Arial"/>
        </w:rPr>
        <w:t>La parte actora relató que el</w:t>
      </w:r>
      <w:r w:rsidR="00C911EB" w:rsidRPr="00B01843">
        <w:rPr>
          <w:rFonts w:ascii="Arial" w:hAnsi="Arial"/>
        </w:rPr>
        <w:t xml:space="preserve"> </w:t>
      </w:r>
      <w:r w:rsidR="0034176A" w:rsidRPr="00B01843">
        <w:rPr>
          <w:rFonts w:ascii="Arial" w:hAnsi="Arial"/>
        </w:rPr>
        <w:t>16 de julio de 2004</w:t>
      </w:r>
      <w:r w:rsidR="00932251" w:rsidRPr="00B01843">
        <w:rPr>
          <w:rFonts w:ascii="Arial" w:hAnsi="Arial"/>
        </w:rPr>
        <w:t xml:space="preserve">, el </w:t>
      </w:r>
      <w:r w:rsidR="00C911EB" w:rsidRPr="00B01843">
        <w:rPr>
          <w:rFonts w:ascii="Arial" w:hAnsi="Arial"/>
        </w:rPr>
        <w:t xml:space="preserve">señor Hipólito Nieto Bonilla, </w:t>
      </w:r>
      <w:r w:rsidR="00F66CDD" w:rsidRPr="00B01843">
        <w:rPr>
          <w:rFonts w:ascii="Arial" w:hAnsi="Arial"/>
        </w:rPr>
        <w:t xml:space="preserve">quien se desempeñaba como </w:t>
      </w:r>
      <w:r w:rsidR="00C911EB" w:rsidRPr="00B01843">
        <w:rPr>
          <w:rFonts w:ascii="Arial" w:hAnsi="Arial"/>
        </w:rPr>
        <w:t>agente activo de la Policía Nacional</w:t>
      </w:r>
      <w:r w:rsidR="00FA2195" w:rsidRPr="00B01843">
        <w:rPr>
          <w:rFonts w:ascii="Arial" w:hAnsi="Arial"/>
        </w:rPr>
        <w:t>,</w:t>
      </w:r>
      <w:r w:rsidR="00C911EB" w:rsidRPr="00B01843">
        <w:rPr>
          <w:rFonts w:ascii="Arial" w:hAnsi="Arial"/>
        </w:rPr>
        <w:t xml:space="preserve"> </w:t>
      </w:r>
      <w:r w:rsidR="00F66CDD" w:rsidRPr="00B01843">
        <w:rPr>
          <w:rFonts w:ascii="Arial" w:hAnsi="Arial"/>
        </w:rPr>
        <w:t>pero ese día se encontraba en</w:t>
      </w:r>
      <w:r w:rsidR="00C911EB" w:rsidRPr="00B01843">
        <w:rPr>
          <w:rFonts w:ascii="Arial" w:hAnsi="Arial"/>
        </w:rPr>
        <w:t xml:space="preserve"> descanso</w:t>
      </w:r>
      <w:r w:rsidR="00FA2195" w:rsidRPr="00B01843">
        <w:rPr>
          <w:rFonts w:ascii="Arial" w:hAnsi="Arial"/>
        </w:rPr>
        <w:t xml:space="preserve"> y </w:t>
      </w:r>
      <w:r w:rsidR="00AA720C" w:rsidRPr="00B01843">
        <w:rPr>
          <w:rFonts w:ascii="Arial" w:hAnsi="Arial"/>
        </w:rPr>
        <w:t>cuando</w:t>
      </w:r>
      <w:r w:rsidR="00932251" w:rsidRPr="00B01843">
        <w:rPr>
          <w:rFonts w:ascii="Arial" w:hAnsi="Arial"/>
        </w:rPr>
        <w:t xml:space="preserve"> se dirigía a la localidad de Fontibón advirtió la existencia de un accidente de tránsito por lo que descendió del taxi en el cual se transportaba para verificar si podía colaborar</w:t>
      </w:r>
      <w:r w:rsidR="00AA720C" w:rsidRPr="00B01843">
        <w:rPr>
          <w:rFonts w:ascii="Arial" w:hAnsi="Arial"/>
        </w:rPr>
        <w:t xml:space="preserve"> en algo. </w:t>
      </w:r>
    </w:p>
    <w:p w14:paraId="6DC7D841" w14:textId="77777777" w:rsidR="00194EF5" w:rsidRPr="00B01843" w:rsidRDefault="00194EF5" w:rsidP="00194EF5">
      <w:pPr>
        <w:spacing w:line="276" w:lineRule="auto"/>
        <w:ind w:right="-8"/>
        <w:contextualSpacing/>
        <w:rPr>
          <w:rFonts w:ascii="Arial" w:hAnsi="Arial"/>
        </w:rPr>
      </w:pPr>
    </w:p>
    <w:p w14:paraId="73B9494E" w14:textId="27010920" w:rsidR="00D97F3F" w:rsidRPr="00B01843" w:rsidRDefault="00714086" w:rsidP="00194EF5">
      <w:pPr>
        <w:spacing w:line="276" w:lineRule="auto"/>
        <w:ind w:right="-8"/>
        <w:contextualSpacing/>
        <w:rPr>
          <w:rFonts w:ascii="Arial" w:hAnsi="Arial"/>
        </w:rPr>
      </w:pPr>
      <w:r w:rsidRPr="00B01843">
        <w:rPr>
          <w:rFonts w:ascii="Arial" w:hAnsi="Arial"/>
        </w:rPr>
        <w:t xml:space="preserve">Narró que </w:t>
      </w:r>
      <w:r w:rsidR="00AA720C" w:rsidRPr="00B01843">
        <w:rPr>
          <w:rFonts w:ascii="Arial" w:hAnsi="Arial"/>
        </w:rPr>
        <w:t>al sitio del incidente</w:t>
      </w:r>
      <w:r w:rsidR="00797775" w:rsidRPr="00B01843">
        <w:rPr>
          <w:rFonts w:ascii="Arial" w:hAnsi="Arial"/>
        </w:rPr>
        <w:t xml:space="preserve"> se presentaron</w:t>
      </w:r>
      <w:r w:rsidR="00AA720C" w:rsidRPr="00B01843">
        <w:rPr>
          <w:rFonts w:ascii="Arial" w:hAnsi="Arial"/>
        </w:rPr>
        <w:t xml:space="preserve"> los patrulleros Quijano Duque y Sánchez Rodríguez, quienes </w:t>
      </w:r>
      <w:r w:rsidR="00797775" w:rsidRPr="00B01843">
        <w:rPr>
          <w:rFonts w:ascii="Arial" w:hAnsi="Arial"/>
        </w:rPr>
        <w:t xml:space="preserve">capturaron </w:t>
      </w:r>
      <w:r w:rsidR="00AA720C" w:rsidRPr="00B01843">
        <w:rPr>
          <w:rFonts w:ascii="Arial" w:hAnsi="Arial"/>
        </w:rPr>
        <w:t>a lo</w:t>
      </w:r>
      <w:r w:rsidR="00797775" w:rsidRPr="00B01843">
        <w:rPr>
          <w:rFonts w:ascii="Arial" w:hAnsi="Arial"/>
        </w:rPr>
        <w:t>s</w:t>
      </w:r>
      <w:r w:rsidR="00AA720C" w:rsidRPr="00B01843">
        <w:rPr>
          <w:rFonts w:ascii="Arial" w:hAnsi="Arial"/>
        </w:rPr>
        <w:t xml:space="preserve"> señores Jhon Jairo Cleves Uribe e Hipólito Nieto Bonilla</w:t>
      </w:r>
      <w:r w:rsidR="00D03C9D" w:rsidRPr="00B01843">
        <w:rPr>
          <w:rFonts w:ascii="Arial" w:hAnsi="Arial"/>
        </w:rPr>
        <w:t xml:space="preserve">, </w:t>
      </w:r>
      <w:r w:rsidR="00194EF5" w:rsidRPr="00B01843">
        <w:rPr>
          <w:rFonts w:ascii="Arial" w:hAnsi="Arial"/>
        </w:rPr>
        <w:t>por</w:t>
      </w:r>
      <w:r w:rsidR="00FA2195" w:rsidRPr="00B01843">
        <w:rPr>
          <w:rFonts w:ascii="Arial" w:hAnsi="Arial"/>
        </w:rPr>
        <w:t xml:space="preserve"> la versión </w:t>
      </w:r>
      <w:r w:rsidR="00D03C9D" w:rsidRPr="00B01843">
        <w:rPr>
          <w:rFonts w:ascii="Arial" w:hAnsi="Arial"/>
        </w:rPr>
        <w:t xml:space="preserve">proporcionada </w:t>
      </w:r>
      <w:r w:rsidR="00D97F3F" w:rsidRPr="00B01843">
        <w:rPr>
          <w:rFonts w:ascii="Arial" w:hAnsi="Arial"/>
        </w:rPr>
        <w:t>por el señor Gustavo Rodríguez Moreno</w:t>
      </w:r>
      <w:r w:rsidR="00FA2195" w:rsidRPr="00B01843">
        <w:rPr>
          <w:rFonts w:ascii="Arial" w:hAnsi="Arial"/>
        </w:rPr>
        <w:t xml:space="preserve"> –participe del choque–,</w:t>
      </w:r>
      <w:r w:rsidR="00D97F3F" w:rsidRPr="00B01843">
        <w:rPr>
          <w:rFonts w:ascii="Arial" w:hAnsi="Arial"/>
        </w:rPr>
        <w:t xml:space="preserve"> a los </w:t>
      </w:r>
      <w:r w:rsidR="00D03C9D" w:rsidRPr="00B01843">
        <w:rPr>
          <w:rFonts w:ascii="Arial" w:hAnsi="Arial"/>
        </w:rPr>
        <w:t>funcionarios de policía</w:t>
      </w:r>
      <w:r w:rsidR="00C530B7" w:rsidRPr="00B01843">
        <w:rPr>
          <w:rFonts w:ascii="Arial" w:hAnsi="Arial"/>
        </w:rPr>
        <w:t xml:space="preserve"> en el lugar de los hechos</w:t>
      </w:r>
      <w:r w:rsidR="00D03C9D" w:rsidRPr="00B01843">
        <w:rPr>
          <w:rFonts w:ascii="Arial" w:hAnsi="Arial"/>
        </w:rPr>
        <w:t xml:space="preserve">, </w:t>
      </w:r>
      <w:r w:rsidR="007240CF" w:rsidRPr="00B01843">
        <w:rPr>
          <w:rFonts w:ascii="Arial" w:hAnsi="Arial"/>
        </w:rPr>
        <w:t xml:space="preserve">en el sentido de que </w:t>
      </w:r>
      <w:r w:rsidR="00192B0F" w:rsidRPr="00B01843">
        <w:rPr>
          <w:rFonts w:ascii="Arial" w:hAnsi="Arial"/>
        </w:rPr>
        <w:t>é</w:t>
      </w:r>
      <w:r w:rsidR="00D03C9D" w:rsidRPr="00B01843">
        <w:rPr>
          <w:rFonts w:ascii="Arial" w:hAnsi="Arial"/>
        </w:rPr>
        <w:t>stos pretendían secuestrar</w:t>
      </w:r>
      <w:r w:rsidR="00D97F3F" w:rsidRPr="00B01843">
        <w:rPr>
          <w:rFonts w:ascii="Arial" w:hAnsi="Arial"/>
        </w:rPr>
        <w:t xml:space="preserve">lo. </w:t>
      </w:r>
    </w:p>
    <w:p w14:paraId="263E20A3" w14:textId="77777777" w:rsidR="007240CF" w:rsidRPr="00B01843" w:rsidRDefault="007240CF" w:rsidP="00E56391">
      <w:pPr>
        <w:spacing w:line="276" w:lineRule="auto"/>
        <w:ind w:right="-8"/>
        <w:contextualSpacing/>
        <w:rPr>
          <w:rFonts w:ascii="Arial" w:hAnsi="Arial"/>
        </w:rPr>
      </w:pPr>
    </w:p>
    <w:p w14:paraId="3876C4E3" w14:textId="77777777" w:rsidR="00D03C9D" w:rsidRPr="00B01843" w:rsidRDefault="00846216" w:rsidP="00E56391">
      <w:pPr>
        <w:spacing w:line="276" w:lineRule="auto"/>
        <w:ind w:right="-8"/>
        <w:contextualSpacing/>
        <w:rPr>
          <w:rFonts w:ascii="Arial" w:hAnsi="Arial"/>
        </w:rPr>
      </w:pPr>
      <w:r w:rsidRPr="00B01843">
        <w:rPr>
          <w:rFonts w:ascii="Arial" w:hAnsi="Arial"/>
        </w:rPr>
        <w:t>Refiri</w:t>
      </w:r>
      <w:r w:rsidR="00E61B7B" w:rsidRPr="00B01843">
        <w:rPr>
          <w:rFonts w:ascii="Arial" w:hAnsi="Arial"/>
        </w:rPr>
        <w:t>ó</w:t>
      </w:r>
      <w:r w:rsidRPr="00B01843">
        <w:rPr>
          <w:rFonts w:ascii="Arial" w:hAnsi="Arial"/>
        </w:rPr>
        <w:t xml:space="preserve"> que, por </w:t>
      </w:r>
      <w:r w:rsidR="00797775" w:rsidRPr="00B01843">
        <w:rPr>
          <w:rFonts w:ascii="Arial" w:hAnsi="Arial"/>
        </w:rPr>
        <w:t>su parte</w:t>
      </w:r>
      <w:r w:rsidR="00F66CDD" w:rsidRPr="00B01843">
        <w:rPr>
          <w:rFonts w:ascii="Arial" w:hAnsi="Arial"/>
        </w:rPr>
        <w:t>, el señor Jorge Iván Ríos</w:t>
      </w:r>
      <w:r w:rsidR="00763796" w:rsidRPr="00B01843">
        <w:rPr>
          <w:rFonts w:ascii="Arial" w:hAnsi="Arial"/>
        </w:rPr>
        <w:t xml:space="preserve"> Muñoz</w:t>
      </w:r>
      <w:r w:rsidR="00F66CDD" w:rsidRPr="00B01843">
        <w:rPr>
          <w:rFonts w:ascii="Arial" w:hAnsi="Arial"/>
        </w:rPr>
        <w:t>,</w:t>
      </w:r>
      <w:r w:rsidR="00797775" w:rsidRPr="00B01843">
        <w:rPr>
          <w:rFonts w:ascii="Arial" w:hAnsi="Arial"/>
        </w:rPr>
        <w:t xml:space="preserve"> </w:t>
      </w:r>
      <w:r w:rsidR="00B86506" w:rsidRPr="00B01843">
        <w:rPr>
          <w:rFonts w:ascii="Arial" w:hAnsi="Arial"/>
        </w:rPr>
        <w:t xml:space="preserve">quien </w:t>
      </w:r>
      <w:r w:rsidR="00797775" w:rsidRPr="00B01843">
        <w:rPr>
          <w:rFonts w:ascii="Arial" w:hAnsi="Arial"/>
        </w:rPr>
        <w:t>también</w:t>
      </w:r>
      <w:r w:rsidR="00B86506" w:rsidRPr="00B01843">
        <w:rPr>
          <w:rFonts w:ascii="Arial" w:hAnsi="Arial"/>
        </w:rPr>
        <w:t xml:space="preserve"> era </w:t>
      </w:r>
      <w:r w:rsidR="00F66CDD" w:rsidRPr="00B01843">
        <w:rPr>
          <w:rFonts w:ascii="Arial" w:hAnsi="Arial"/>
        </w:rPr>
        <w:t xml:space="preserve">agente activo de la Policía </w:t>
      </w:r>
      <w:r w:rsidR="00797775" w:rsidRPr="00B01843">
        <w:rPr>
          <w:rFonts w:ascii="Arial" w:hAnsi="Arial"/>
        </w:rPr>
        <w:t xml:space="preserve">Nacional y se encontraba prestando su servicio como escolta asignado a un magistrado de la Corte Suprema de Justicia, mientras transitaba por la misma vía del accidente </w:t>
      </w:r>
      <w:r w:rsidR="00192B0F" w:rsidRPr="00B01843">
        <w:rPr>
          <w:rFonts w:ascii="Arial" w:hAnsi="Arial"/>
        </w:rPr>
        <w:t xml:space="preserve">con el propósito de </w:t>
      </w:r>
      <w:r w:rsidR="00797775" w:rsidRPr="00B01843">
        <w:rPr>
          <w:rFonts w:ascii="Arial" w:hAnsi="Arial"/>
        </w:rPr>
        <w:t xml:space="preserve">guardar el vehículo oficial fue detenido </w:t>
      </w:r>
      <w:r w:rsidR="00192B0F" w:rsidRPr="00B01843">
        <w:rPr>
          <w:rFonts w:ascii="Arial" w:hAnsi="Arial"/>
        </w:rPr>
        <w:t xml:space="preserve">por </w:t>
      </w:r>
      <w:r w:rsidR="00797775" w:rsidRPr="00B01843">
        <w:rPr>
          <w:rFonts w:ascii="Arial" w:hAnsi="Arial"/>
        </w:rPr>
        <w:t>partici</w:t>
      </w:r>
      <w:r w:rsidR="00192B0F" w:rsidRPr="00B01843">
        <w:rPr>
          <w:rFonts w:ascii="Arial" w:hAnsi="Arial"/>
        </w:rPr>
        <w:t>par</w:t>
      </w:r>
      <w:r w:rsidR="00797775" w:rsidRPr="00B01843">
        <w:rPr>
          <w:rFonts w:ascii="Arial" w:hAnsi="Arial"/>
        </w:rPr>
        <w:t xml:space="preserve"> en el intento de secuestro</w:t>
      </w:r>
      <w:r w:rsidR="00192B0F" w:rsidRPr="00B01843">
        <w:rPr>
          <w:rFonts w:ascii="Arial" w:hAnsi="Arial"/>
        </w:rPr>
        <w:t xml:space="preserve">, según la información contenida en el informe policial. </w:t>
      </w:r>
    </w:p>
    <w:p w14:paraId="3F6C10BB" w14:textId="77777777" w:rsidR="00714086" w:rsidRPr="00B01843" w:rsidRDefault="00714086" w:rsidP="00714086">
      <w:pPr>
        <w:spacing w:line="276" w:lineRule="auto"/>
        <w:ind w:right="-8"/>
        <w:contextualSpacing/>
        <w:rPr>
          <w:rFonts w:ascii="Arial" w:hAnsi="Arial"/>
        </w:rPr>
      </w:pPr>
    </w:p>
    <w:p w14:paraId="2FCAAEBA" w14:textId="77777777" w:rsidR="00714086" w:rsidRPr="00B01843" w:rsidRDefault="00714086" w:rsidP="00714086">
      <w:pPr>
        <w:spacing w:line="276" w:lineRule="auto"/>
        <w:ind w:right="-8"/>
        <w:contextualSpacing/>
        <w:rPr>
          <w:rFonts w:ascii="Arial" w:hAnsi="Arial"/>
        </w:rPr>
      </w:pPr>
      <w:r w:rsidRPr="00B01843">
        <w:rPr>
          <w:rFonts w:ascii="Arial" w:hAnsi="Arial"/>
        </w:rPr>
        <w:t>Comentó que</w:t>
      </w:r>
      <w:r w:rsidR="00BE32A7" w:rsidRPr="00B01843">
        <w:rPr>
          <w:rFonts w:ascii="Arial" w:hAnsi="Arial"/>
        </w:rPr>
        <w:t xml:space="preserve"> </w:t>
      </w:r>
      <w:r w:rsidR="00846216" w:rsidRPr="00B01843">
        <w:rPr>
          <w:rFonts w:ascii="Arial" w:hAnsi="Arial"/>
        </w:rPr>
        <w:t xml:space="preserve">la </w:t>
      </w:r>
      <w:r w:rsidR="00F85866" w:rsidRPr="00B01843">
        <w:rPr>
          <w:rFonts w:ascii="Arial" w:hAnsi="Arial"/>
        </w:rPr>
        <w:t>Fiscalía</w:t>
      </w:r>
      <w:r w:rsidR="00037617" w:rsidRPr="00B01843">
        <w:rPr>
          <w:rFonts w:ascii="Arial" w:hAnsi="Arial"/>
        </w:rPr>
        <w:t xml:space="preserve"> </w:t>
      </w:r>
      <w:r w:rsidR="00846216" w:rsidRPr="00B01843">
        <w:rPr>
          <w:rFonts w:ascii="Arial" w:hAnsi="Arial"/>
        </w:rPr>
        <w:t>321 delegada ante los Juzgados Penales del Circuito de Bogotá</w:t>
      </w:r>
      <w:r w:rsidR="00B86506" w:rsidRPr="00B01843">
        <w:rPr>
          <w:rFonts w:ascii="Arial" w:hAnsi="Arial"/>
        </w:rPr>
        <w:t xml:space="preserve">, </w:t>
      </w:r>
      <w:r w:rsidR="00F85866" w:rsidRPr="00B01843">
        <w:rPr>
          <w:rFonts w:ascii="Arial" w:hAnsi="Arial"/>
        </w:rPr>
        <w:t xml:space="preserve">el </w:t>
      </w:r>
      <w:r w:rsidR="00B86506" w:rsidRPr="00B01843">
        <w:rPr>
          <w:rFonts w:ascii="Arial" w:hAnsi="Arial"/>
        </w:rPr>
        <w:t xml:space="preserve">17 de julio de 2004, </w:t>
      </w:r>
      <w:r w:rsidR="00846216" w:rsidRPr="00B01843">
        <w:rPr>
          <w:rFonts w:ascii="Arial" w:hAnsi="Arial"/>
        </w:rPr>
        <w:t>profirió resolución de apertura de instrucción por las conductas punibles de secuestro simple en modalidad de tenta</w:t>
      </w:r>
      <w:r w:rsidR="000C592C" w:rsidRPr="00B01843">
        <w:rPr>
          <w:rFonts w:ascii="Arial" w:hAnsi="Arial"/>
        </w:rPr>
        <w:t>tiva</w:t>
      </w:r>
      <w:r w:rsidR="00846216" w:rsidRPr="00B01843">
        <w:rPr>
          <w:rFonts w:ascii="Arial" w:hAnsi="Arial"/>
        </w:rPr>
        <w:t xml:space="preserve">, </w:t>
      </w:r>
      <w:r w:rsidR="00F46607" w:rsidRPr="00B01843">
        <w:rPr>
          <w:rFonts w:ascii="Arial" w:hAnsi="Arial"/>
        </w:rPr>
        <w:t>en concurso con tráfico, fabricación o porte de armas de fuego o municiones y daño en bien ajeno</w:t>
      </w:r>
      <w:r w:rsidR="000C592C" w:rsidRPr="00B01843">
        <w:rPr>
          <w:rFonts w:ascii="Arial" w:hAnsi="Arial"/>
        </w:rPr>
        <w:t>,</w:t>
      </w:r>
      <w:r w:rsidR="00F46607" w:rsidRPr="00B01843">
        <w:rPr>
          <w:rFonts w:ascii="Arial" w:hAnsi="Arial"/>
        </w:rPr>
        <w:t xml:space="preserve"> y vinculó a los señores Hipólito Nieto Bonilla y Jorge Iván Ríos</w:t>
      </w:r>
      <w:r w:rsidR="004A5B5B" w:rsidRPr="00B01843">
        <w:rPr>
          <w:rFonts w:ascii="Arial" w:hAnsi="Arial"/>
        </w:rPr>
        <w:t xml:space="preserve"> Muñoz</w:t>
      </w:r>
      <w:r w:rsidR="000C592C" w:rsidRPr="00B01843">
        <w:rPr>
          <w:rFonts w:ascii="Arial" w:hAnsi="Arial"/>
        </w:rPr>
        <w:t xml:space="preserve"> como los presuntos autores</w:t>
      </w:r>
      <w:r w:rsidR="00037617" w:rsidRPr="00B01843">
        <w:rPr>
          <w:rFonts w:ascii="Arial" w:hAnsi="Arial"/>
        </w:rPr>
        <w:t xml:space="preserve">, a quienes se les concedió la libertad provisional </w:t>
      </w:r>
      <w:r w:rsidR="00F97E79" w:rsidRPr="00B01843">
        <w:rPr>
          <w:rFonts w:ascii="Arial" w:hAnsi="Arial"/>
        </w:rPr>
        <w:t xml:space="preserve">por su condición de agentes activos de la Policía Nacional. </w:t>
      </w:r>
    </w:p>
    <w:p w14:paraId="0D9DD26A" w14:textId="77777777" w:rsidR="00714086" w:rsidRPr="00B01843" w:rsidRDefault="00714086" w:rsidP="00714086">
      <w:pPr>
        <w:spacing w:line="276" w:lineRule="auto"/>
        <w:ind w:right="-8"/>
        <w:contextualSpacing/>
        <w:rPr>
          <w:rFonts w:ascii="Arial" w:hAnsi="Arial"/>
        </w:rPr>
      </w:pPr>
    </w:p>
    <w:p w14:paraId="7A9DF2DD" w14:textId="77777777" w:rsidR="00714086" w:rsidRPr="00B01843" w:rsidRDefault="00714086" w:rsidP="00714086">
      <w:pPr>
        <w:spacing w:line="276" w:lineRule="auto"/>
        <w:ind w:right="-8"/>
        <w:contextualSpacing/>
        <w:rPr>
          <w:rFonts w:ascii="Arial" w:hAnsi="Arial"/>
        </w:rPr>
      </w:pPr>
      <w:r w:rsidRPr="00B01843">
        <w:rPr>
          <w:rFonts w:ascii="Arial" w:hAnsi="Arial"/>
        </w:rPr>
        <w:t>Indicó que</w:t>
      </w:r>
      <w:r w:rsidR="00674B2E" w:rsidRPr="00B01843">
        <w:rPr>
          <w:rFonts w:ascii="Arial" w:hAnsi="Arial"/>
        </w:rPr>
        <w:t>,</w:t>
      </w:r>
      <w:r w:rsidR="00F85866" w:rsidRPr="00B01843">
        <w:rPr>
          <w:rFonts w:ascii="Arial" w:hAnsi="Arial"/>
        </w:rPr>
        <w:t xml:space="preserve"> </w:t>
      </w:r>
      <w:r w:rsidR="00770E3E" w:rsidRPr="00B01843">
        <w:rPr>
          <w:rFonts w:ascii="Arial" w:hAnsi="Arial"/>
        </w:rPr>
        <w:t>surtido el trámite procesal pertinente, una vez escuchados a lo</w:t>
      </w:r>
      <w:r w:rsidR="003528E0" w:rsidRPr="00B01843">
        <w:rPr>
          <w:rFonts w:ascii="Arial" w:hAnsi="Arial"/>
        </w:rPr>
        <w:t>s</w:t>
      </w:r>
      <w:r w:rsidR="00770E3E" w:rsidRPr="00B01843">
        <w:rPr>
          <w:rFonts w:ascii="Arial" w:hAnsi="Arial"/>
        </w:rPr>
        <w:t xml:space="preserve"> sindicados y practicadas las pruebas ordenadas en la aludida resolución, el 22 de julio de 2004, la </w:t>
      </w:r>
      <w:r w:rsidR="00B63C1B" w:rsidRPr="00B01843">
        <w:rPr>
          <w:rFonts w:ascii="Arial" w:hAnsi="Arial"/>
        </w:rPr>
        <w:t xml:space="preserve">Fiscalía 13 Antisecuestros y Extorsión de Bogotá </w:t>
      </w:r>
      <w:r w:rsidR="00770E3E" w:rsidRPr="00B01843">
        <w:rPr>
          <w:rFonts w:ascii="Arial" w:hAnsi="Arial"/>
        </w:rPr>
        <w:t xml:space="preserve">avocó </w:t>
      </w:r>
      <w:r w:rsidR="00B63C1B" w:rsidRPr="00B01843">
        <w:rPr>
          <w:rFonts w:ascii="Arial" w:hAnsi="Arial"/>
        </w:rPr>
        <w:t xml:space="preserve">el </w:t>
      </w:r>
      <w:r w:rsidR="00770E3E" w:rsidRPr="00B01843">
        <w:rPr>
          <w:rFonts w:ascii="Arial" w:hAnsi="Arial"/>
        </w:rPr>
        <w:t xml:space="preserve">conocimiento de la actuación y ordenó la práctica de unos elementos probatorios. </w:t>
      </w:r>
    </w:p>
    <w:p w14:paraId="187AF7A2" w14:textId="77777777" w:rsidR="000C592C" w:rsidRPr="00B01843" w:rsidRDefault="000C592C" w:rsidP="00714086">
      <w:pPr>
        <w:spacing w:line="276" w:lineRule="auto"/>
        <w:ind w:right="-8"/>
        <w:contextualSpacing/>
        <w:rPr>
          <w:rFonts w:ascii="Arial" w:hAnsi="Arial"/>
        </w:rPr>
      </w:pPr>
    </w:p>
    <w:p w14:paraId="407AB255" w14:textId="77777777" w:rsidR="00BE32A7" w:rsidRPr="00B01843" w:rsidRDefault="00714086" w:rsidP="00BE32A7">
      <w:pPr>
        <w:spacing w:line="276" w:lineRule="auto"/>
        <w:ind w:right="-8"/>
        <w:contextualSpacing/>
        <w:rPr>
          <w:rFonts w:ascii="Arial" w:hAnsi="Arial"/>
        </w:rPr>
      </w:pPr>
      <w:r w:rsidRPr="00B01843">
        <w:rPr>
          <w:rFonts w:ascii="Arial" w:hAnsi="Arial"/>
        </w:rPr>
        <w:t xml:space="preserve">Aludió que </w:t>
      </w:r>
      <w:r w:rsidR="003528E0" w:rsidRPr="00B01843">
        <w:rPr>
          <w:rFonts w:ascii="Arial" w:hAnsi="Arial"/>
        </w:rPr>
        <w:t xml:space="preserve">el 23 de julio de 2004, se </w:t>
      </w:r>
      <w:r w:rsidR="00B63C1B" w:rsidRPr="00B01843">
        <w:rPr>
          <w:rFonts w:ascii="Arial" w:hAnsi="Arial"/>
        </w:rPr>
        <w:t xml:space="preserve">profirió </w:t>
      </w:r>
      <w:r w:rsidR="003528E0" w:rsidRPr="00B01843">
        <w:rPr>
          <w:rFonts w:ascii="Arial" w:hAnsi="Arial"/>
        </w:rPr>
        <w:t>medida de aseguramiento consistente en detención preventiva</w:t>
      </w:r>
      <w:r w:rsidR="00B63C1B" w:rsidRPr="00B01843">
        <w:rPr>
          <w:rFonts w:ascii="Arial" w:hAnsi="Arial"/>
        </w:rPr>
        <w:t xml:space="preserve"> sin beneficio de excarcelación</w:t>
      </w:r>
      <w:r w:rsidR="003528E0" w:rsidRPr="00B01843">
        <w:rPr>
          <w:rFonts w:ascii="Arial" w:hAnsi="Arial"/>
        </w:rPr>
        <w:t xml:space="preserve"> contra </w:t>
      </w:r>
      <w:r w:rsidR="00BF637E" w:rsidRPr="00B01843">
        <w:rPr>
          <w:rFonts w:ascii="Arial" w:hAnsi="Arial"/>
        </w:rPr>
        <w:t xml:space="preserve">los señores </w:t>
      </w:r>
      <w:r w:rsidR="003528E0" w:rsidRPr="00B01843">
        <w:rPr>
          <w:rFonts w:ascii="Arial" w:hAnsi="Arial"/>
        </w:rPr>
        <w:t>Hipólito Nieto Bonilla, Jorge Iván Ríos</w:t>
      </w:r>
      <w:r w:rsidR="00763796" w:rsidRPr="00B01843">
        <w:rPr>
          <w:rFonts w:ascii="Arial" w:hAnsi="Arial"/>
        </w:rPr>
        <w:t xml:space="preserve"> Muñoz</w:t>
      </w:r>
      <w:r w:rsidR="003528E0" w:rsidRPr="00B01843">
        <w:rPr>
          <w:rFonts w:ascii="Arial" w:hAnsi="Arial"/>
        </w:rPr>
        <w:t xml:space="preserve"> </w:t>
      </w:r>
      <w:r w:rsidR="00B63C1B" w:rsidRPr="00B01843">
        <w:rPr>
          <w:rFonts w:ascii="Arial" w:hAnsi="Arial"/>
        </w:rPr>
        <w:t xml:space="preserve">y Jhon Jairo Cleves Uribe, </w:t>
      </w:r>
      <w:r w:rsidR="003528E0" w:rsidRPr="00B01843">
        <w:rPr>
          <w:rFonts w:ascii="Arial" w:hAnsi="Arial"/>
        </w:rPr>
        <w:t>por la presunta comisión del delito de secuestro</w:t>
      </w:r>
      <w:r w:rsidR="00B63C1B" w:rsidRPr="00B01843">
        <w:rPr>
          <w:rFonts w:ascii="Arial" w:hAnsi="Arial"/>
        </w:rPr>
        <w:t xml:space="preserve"> simple</w:t>
      </w:r>
      <w:r w:rsidR="003528E0" w:rsidRPr="00B01843">
        <w:rPr>
          <w:rFonts w:ascii="Arial" w:hAnsi="Arial"/>
        </w:rPr>
        <w:t xml:space="preserve"> en grado de tentativa y </w:t>
      </w:r>
      <w:r w:rsidR="00B63C1B" w:rsidRPr="00B01843">
        <w:rPr>
          <w:rFonts w:ascii="Arial" w:hAnsi="Arial"/>
        </w:rPr>
        <w:t xml:space="preserve">concierto para delinquir. </w:t>
      </w:r>
    </w:p>
    <w:p w14:paraId="3E182E5C" w14:textId="77777777" w:rsidR="00B63C1B" w:rsidRPr="00B01843" w:rsidRDefault="00B63C1B" w:rsidP="00BE32A7">
      <w:pPr>
        <w:spacing w:line="276" w:lineRule="auto"/>
        <w:ind w:right="-8"/>
        <w:contextualSpacing/>
        <w:rPr>
          <w:rFonts w:ascii="Arial" w:hAnsi="Arial"/>
        </w:rPr>
      </w:pPr>
    </w:p>
    <w:p w14:paraId="40B76433" w14:textId="77777777" w:rsidR="00BF637E" w:rsidRPr="00B01843" w:rsidRDefault="00714086" w:rsidP="00BF637E">
      <w:pPr>
        <w:spacing w:line="276" w:lineRule="auto"/>
        <w:ind w:right="-8"/>
        <w:contextualSpacing/>
        <w:rPr>
          <w:rFonts w:ascii="Arial" w:hAnsi="Arial"/>
        </w:rPr>
      </w:pPr>
      <w:r w:rsidRPr="00B01843">
        <w:rPr>
          <w:rFonts w:ascii="Arial" w:hAnsi="Arial"/>
        </w:rPr>
        <w:t xml:space="preserve">Señaló que </w:t>
      </w:r>
      <w:r w:rsidR="00674B2E" w:rsidRPr="00B01843">
        <w:rPr>
          <w:rFonts w:ascii="Arial" w:hAnsi="Arial"/>
        </w:rPr>
        <w:t xml:space="preserve">la Fiscalía 13 Antisecuestros y Extorsión de Bogotá, en providencia de 5 de noviembre de 2004, </w:t>
      </w:r>
      <w:r w:rsidR="00B86506" w:rsidRPr="00B01843">
        <w:rPr>
          <w:rFonts w:ascii="Arial" w:hAnsi="Arial"/>
        </w:rPr>
        <w:t xml:space="preserve">revocó la medida de aseguramiento </w:t>
      </w:r>
      <w:r w:rsidR="00EE0F45" w:rsidRPr="00B01843">
        <w:rPr>
          <w:rFonts w:ascii="Arial" w:hAnsi="Arial"/>
        </w:rPr>
        <w:t xml:space="preserve">impuesta a los </w:t>
      </w:r>
      <w:r w:rsidR="00674B2E" w:rsidRPr="00B01843">
        <w:rPr>
          <w:rFonts w:ascii="Arial" w:hAnsi="Arial"/>
        </w:rPr>
        <w:t xml:space="preserve">sindicados </w:t>
      </w:r>
      <w:r w:rsidR="00EE0F45" w:rsidRPr="00B01843">
        <w:rPr>
          <w:rFonts w:ascii="Arial" w:hAnsi="Arial"/>
        </w:rPr>
        <w:t>como presuntos autores del punible de concierto para delinquir y precluyó la investigación por este delito</w:t>
      </w:r>
      <w:r w:rsidR="00FA2195" w:rsidRPr="00B01843">
        <w:rPr>
          <w:rFonts w:ascii="Arial" w:hAnsi="Arial"/>
        </w:rPr>
        <w:t>,</w:t>
      </w:r>
      <w:r w:rsidR="009D6D63" w:rsidRPr="00B01843">
        <w:rPr>
          <w:rFonts w:ascii="Arial" w:hAnsi="Arial"/>
        </w:rPr>
        <w:t xml:space="preserve"> </w:t>
      </w:r>
      <w:r w:rsidR="00B86506" w:rsidRPr="00B01843">
        <w:rPr>
          <w:rFonts w:ascii="Arial" w:hAnsi="Arial"/>
        </w:rPr>
        <w:t xml:space="preserve">motivo por el cual </w:t>
      </w:r>
      <w:r w:rsidR="006227ED" w:rsidRPr="00B01843">
        <w:rPr>
          <w:rFonts w:ascii="Arial" w:hAnsi="Arial"/>
        </w:rPr>
        <w:t xml:space="preserve">el 11 de noviembre siguiente, se </w:t>
      </w:r>
      <w:r w:rsidR="00674B2E" w:rsidRPr="00B01843">
        <w:rPr>
          <w:rFonts w:ascii="Arial" w:hAnsi="Arial"/>
        </w:rPr>
        <w:t xml:space="preserve">les </w:t>
      </w:r>
      <w:r w:rsidR="006227ED" w:rsidRPr="00B01843">
        <w:rPr>
          <w:rFonts w:ascii="Arial" w:hAnsi="Arial"/>
        </w:rPr>
        <w:t xml:space="preserve">concedió </w:t>
      </w:r>
      <w:r w:rsidR="00D20D52" w:rsidRPr="00B01843">
        <w:rPr>
          <w:rFonts w:ascii="Arial" w:hAnsi="Arial"/>
        </w:rPr>
        <w:t>la</w:t>
      </w:r>
      <w:r w:rsidR="006227ED" w:rsidRPr="00B01843">
        <w:rPr>
          <w:rFonts w:ascii="Arial" w:hAnsi="Arial"/>
        </w:rPr>
        <w:t xml:space="preserve"> libertad inmediata</w:t>
      </w:r>
      <w:r w:rsidR="00C64830" w:rsidRPr="00B01843">
        <w:rPr>
          <w:rFonts w:ascii="Arial" w:hAnsi="Arial"/>
        </w:rPr>
        <w:t xml:space="preserve"> y los uniformados </w:t>
      </w:r>
      <w:r w:rsidR="00EE0F45" w:rsidRPr="00B01843">
        <w:rPr>
          <w:rFonts w:ascii="Arial" w:hAnsi="Arial"/>
        </w:rPr>
        <w:t xml:space="preserve">fueron reintegrados a la Dirección de la Policía donde se encontraban adscritos. </w:t>
      </w:r>
    </w:p>
    <w:p w14:paraId="568BDE21" w14:textId="77777777" w:rsidR="00BF637E" w:rsidRPr="00B01843" w:rsidRDefault="00BF637E" w:rsidP="00BF637E">
      <w:pPr>
        <w:spacing w:line="276" w:lineRule="auto"/>
        <w:ind w:right="-8"/>
        <w:contextualSpacing/>
        <w:rPr>
          <w:rFonts w:ascii="Arial" w:hAnsi="Arial"/>
        </w:rPr>
      </w:pPr>
    </w:p>
    <w:p w14:paraId="1635F496" w14:textId="72C35F5B" w:rsidR="00B01843" w:rsidRDefault="00EE0F45" w:rsidP="00714086">
      <w:pPr>
        <w:spacing w:line="276" w:lineRule="auto"/>
        <w:ind w:right="-8"/>
        <w:contextualSpacing/>
        <w:rPr>
          <w:rFonts w:ascii="Arial" w:hAnsi="Arial"/>
        </w:rPr>
      </w:pPr>
      <w:r w:rsidRPr="00B01843">
        <w:rPr>
          <w:rFonts w:ascii="Arial" w:hAnsi="Arial"/>
        </w:rPr>
        <w:t xml:space="preserve">Agregó que el 18 de enero de 2007, </w:t>
      </w:r>
      <w:r w:rsidR="00674B2E" w:rsidRPr="00B01843">
        <w:rPr>
          <w:rFonts w:ascii="Arial" w:hAnsi="Arial"/>
        </w:rPr>
        <w:t xml:space="preserve">la Fiscalía </w:t>
      </w:r>
      <w:r w:rsidRPr="00B01843">
        <w:rPr>
          <w:rFonts w:ascii="Arial" w:hAnsi="Arial"/>
        </w:rPr>
        <w:t xml:space="preserve">255 </w:t>
      </w:r>
      <w:r w:rsidR="00214F63" w:rsidRPr="00B01843">
        <w:rPr>
          <w:rFonts w:ascii="Arial" w:hAnsi="Arial"/>
        </w:rPr>
        <w:t xml:space="preserve">de Seguridad Pública de Bogotá, </w:t>
      </w:r>
      <w:r w:rsidRPr="00B01843">
        <w:rPr>
          <w:rFonts w:ascii="Arial" w:hAnsi="Arial"/>
        </w:rPr>
        <w:t xml:space="preserve">resolvió precluir la investigación </w:t>
      </w:r>
      <w:r w:rsidR="00214F63" w:rsidRPr="00B01843">
        <w:rPr>
          <w:rFonts w:ascii="Arial" w:hAnsi="Arial"/>
        </w:rPr>
        <w:t xml:space="preserve">a favor de Hipólito Nieto Bonilla y Jorge Iván Ríos Muñoz, </w:t>
      </w:r>
      <w:r w:rsidR="00BF637E" w:rsidRPr="00B01843">
        <w:rPr>
          <w:rFonts w:ascii="Arial" w:hAnsi="Arial"/>
        </w:rPr>
        <w:t>r</w:t>
      </w:r>
      <w:r w:rsidR="00BF637E" w:rsidRPr="00B01843">
        <w:rPr>
          <w:rFonts w:ascii="Arial" w:hAnsi="Arial"/>
          <w:lang w:val="es-CO"/>
        </w:rPr>
        <w:t>especto de las presuntas conductas punibles de porte ilegal de armas de fuego, daño en bien ajeno y secuestro simple</w:t>
      </w:r>
      <w:r w:rsidR="00BF637E" w:rsidRPr="00B01843">
        <w:rPr>
          <w:rFonts w:ascii="Arial" w:hAnsi="Arial"/>
        </w:rPr>
        <w:t xml:space="preserve">, </w:t>
      </w:r>
      <w:r w:rsidR="00214F63" w:rsidRPr="00B01843">
        <w:rPr>
          <w:rFonts w:ascii="Arial" w:hAnsi="Arial"/>
        </w:rPr>
        <w:t>decisión que cumplió su ejecutoria el 21 de febrero de esa misma anualidad</w:t>
      </w:r>
      <w:r w:rsidR="00B01843" w:rsidRPr="00B01843">
        <w:rPr>
          <w:rFonts w:ascii="Arial" w:hAnsi="Arial"/>
        </w:rPr>
        <w:t xml:space="preserve">. </w:t>
      </w:r>
    </w:p>
    <w:p w14:paraId="4C2E19F6" w14:textId="77777777" w:rsidR="006D15C0" w:rsidRPr="00B01843" w:rsidRDefault="006D15C0" w:rsidP="00714086">
      <w:pPr>
        <w:spacing w:line="276" w:lineRule="auto"/>
        <w:ind w:right="-8"/>
        <w:contextualSpacing/>
        <w:rPr>
          <w:rFonts w:ascii="Arial" w:hAnsi="Arial"/>
        </w:rPr>
      </w:pPr>
    </w:p>
    <w:p w14:paraId="1488F746" w14:textId="1FA6E349" w:rsidR="00C64830" w:rsidRPr="00B01843" w:rsidRDefault="00346BF3" w:rsidP="00714086">
      <w:pPr>
        <w:spacing w:line="276" w:lineRule="auto"/>
        <w:ind w:right="-8"/>
        <w:contextualSpacing/>
        <w:rPr>
          <w:rFonts w:ascii="Arial" w:hAnsi="Arial"/>
        </w:rPr>
      </w:pPr>
      <w:r w:rsidRPr="00B01843">
        <w:rPr>
          <w:rFonts w:ascii="Arial" w:hAnsi="Arial"/>
        </w:rPr>
        <w:t>Mencionó</w:t>
      </w:r>
      <w:r w:rsidR="00714086" w:rsidRPr="00B01843">
        <w:rPr>
          <w:rFonts w:ascii="Arial" w:hAnsi="Arial"/>
        </w:rPr>
        <w:t xml:space="preserve"> que</w:t>
      </w:r>
      <w:r w:rsidR="00245FEF" w:rsidRPr="00B01843">
        <w:rPr>
          <w:rFonts w:ascii="Arial" w:hAnsi="Arial"/>
        </w:rPr>
        <w:t>,</w:t>
      </w:r>
      <w:r w:rsidR="00C64830" w:rsidRPr="00B01843">
        <w:rPr>
          <w:rFonts w:ascii="Arial" w:hAnsi="Arial"/>
        </w:rPr>
        <w:t xml:space="preserve"> en vista de lo anterior, los señores Hipólito Nieto Bonilla y Jorge Iván Ríos Muñoz</w:t>
      </w:r>
      <w:r w:rsidR="00194EF5" w:rsidRPr="00B01843">
        <w:rPr>
          <w:rFonts w:ascii="Arial" w:hAnsi="Arial"/>
        </w:rPr>
        <w:t xml:space="preserve"> </w:t>
      </w:r>
      <w:r w:rsidR="00C64830" w:rsidRPr="00B01843">
        <w:rPr>
          <w:rFonts w:ascii="Arial" w:hAnsi="Arial"/>
        </w:rPr>
        <w:t>junto con sus familiares</w:t>
      </w:r>
      <w:r w:rsidR="006D15C0" w:rsidRPr="00B01843">
        <w:rPr>
          <w:rStyle w:val="Refdenotaalpie"/>
          <w:rFonts w:ascii="Arial" w:hAnsi="Arial"/>
        </w:rPr>
        <w:footnoteReference w:id="2"/>
      </w:r>
      <w:r w:rsidR="006D15C0" w:rsidRPr="00B01843">
        <w:rPr>
          <w:rFonts w:ascii="Arial" w:hAnsi="Arial"/>
        </w:rPr>
        <w:t>,</w:t>
      </w:r>
      <w:r w:rsidR="00C64830" w:rsidRPr="00B01843">
        <w:rPr>
          <w:rFonts w:ascii="Arial" w:hAnsi="Arial"/>
        </w:rPr>
        <w:t xml:space="preserve"> promovieron el medio de control de reparación directa para que se declarara a la Fiscalía General de la Nación y a la Policía Nacional, administrativamente responsables de manera solidaria por los perjuicios causados por la privación injusta de </w:t>
      </w:r>
      <w:r w:rsidR="00B2011B" w:rsidRPr="00B01843">
        <w:rPr>
          <w:rFonts w:ascii="Arial" w:hAnsi="Arial"/>
        </w:rPr>
        <w:t>su</w:t>
      </w:r>
      <w:r w:rsidR="00C64830" w:rsidRPr="00B01843">
        <w:rPr>
          <w:rFonts w:ascii="Arial" w:hAnsi="Arial"/>
        </w:rPr>
        <w:t xml:space="preserve"> libertad</w:t>
      </w:r>
      <w:r w:rsidR="00703D3D" w:rsidRPr="00B01843">
        <w:rPr>
          <w:rFonts w:ascii="Arial" w:hAnsi="Arial"/>
        </w:rPr>
        <w:t xml:space="preserve"> durante tres meses y once días. </w:t>
      </w:r>
    </w:p>
    <w:p w14:paraId="6582F472" w14:textId="264D769F" w:rsidR="00C64830" w:rsidRPr="00B01843" w:rsidRDefault="006D15C0" w:rsidP="00714086">
      <w:pPr>
        <w:spacing w:line="276" w:lineRule="auto"/>
        <w:ind w:right="-8"/>
        <w:contextualSpacing/>
        <w:rPr>
          <w:rFonts w:ascii="Arial" w:hAnsi="Arial"/>
        </w:rPr>
      </w:pPr>
      <w:r>
        <w:rPr>
          <w:rFonts w:ascii="Arial" w:hAnsi="Arial"/>
        </w:rPr>
        <w:t xml:space="preserve"> </w:t>
      </w:r>
    </w:p>
    <w:p w14:paraId="6BE8A635" w14:textId="571299B9" w:rsidR="00522CAF" w:rsidRPr="00B01843" w:rsidRDefault="00346BF3" w:rsidP="00714086">
      <w:pPr>
        <w:spacing w:line="276" w:lineRule="auto"/>
        <w:ind w:right="-8"/>
        <w:contextualSpacing/>
        <w:rPr>
          <w:rFonts w:ascii="Arial" w:hAnsi="Arial"/>
        </w:rPr>
      </w:pPr>
      <w:r w:rsidRPr="00B01843">
        <w:rPr>
          <w:rFonts w:ascii="Arial" w:hAnsi="Arial"/>
        </w:rPr>
        <w:t xml:space="preserve">Afirmó </w:t>
      </w:r>
      <w:r w:rsidR="00B2011B" w:rsidRPr="00B01843">
        <w:rPr>
          <w:rFonts w:ascii="Arial" w:hAnsi="Arial"/>
        </w:rPr>
        <w:t>que</w:t>
      </w:r>
      <w:r w:rsidR="00714086" w:rsidRPr="00B01843">
        <w:rPr>
          <w:rFonts w:ascii="Arial" w:hAnsi="Arial"/>
        </w:rPr>
        <w:t xml:space="preserve"> del proceso conoció el</w:t>
      </w:r>
      <w:r w:rsidR="00B2011B" w:rsidRPr="00B01843">
        <w:rPr>
          <w:rFonts w:ascii="Arial" w:hAnsi="Arial"/>
        </w:rPr>
        <w:t xml:space="preserve"> Tribunal Administrativo de Cundinamarca, Sección Tercera, Subsección C</w:t>
      </w:r>
      <w:r w:rsidR="00FA7FD0" w:rsidRPr="00B01843">
        <w:rPr>
          <w:rFonts w:ascii="Arial" w:hAnsi="Arial"/>
        </w:rPr>
        <w:t xml:space="preserve"> de Descongestión</w:t>
      </w:r>
      <w:r w:rsidR="006A7F70" w:rsidRPr="00B01843">
        <w:rPr>
          <w:rFonts w:ascii="Arial" w:hAnsi="Arial"/>
        </w:rPr>
        <w:t>,</w:t>
      </w:r>
      <w:r w:rsidR="001900F7" w:rsidRPr="00B01843">
        <w:rPr>
          <w:rFonts w:ascii="Arial" w:hAnsi="Arial"/>
        </w:rPr>
        <w:t xml:space="preserve"> </w:t>
      </w:r>
      <w:r w:rsidR="00714086" w:rsidRPr="00B01843">
        <w:rPr>
          <w:rFonts w:ascii="Arial" w:hAnsi="Arial"/>
        </w:rPr>
        <w:t>q</w:t>
      </w:r>
      <w:r w:rsidR="001900F7" w:rsidRPr="00B01843">
        <w:rPr>
          <w:rFonts w:ascii="Arial" w:hAnsi="Arial"/>
        </w:rPr>
        <w:t>ue mediante</w:t>
      </w:r>
      <w:r w:rsidR="00714086" w:rsidRPr="00B01843">
        <w:rPr>
          <w:rFonts w:ascii="Arial" w:hAnsi="Arial"/>
        </w:rPr>
        <w:t xml:space="preserve"> sentencia de</w:t>
      </w:r>
      <w:r w:rsidR="00B2011B" w:rsidRPr="00B01843">
        <w:rPr>
          <w:rFonts w:ascii="Arial" w:hAnsi="Arial"/>
        </w:rPr>
        <w:t xml:space="preserve"> 7 de mayo de 2013, accedió parcialmente a las pretensiones de la demand</w:t>
      </w:r>
      <w:r w:rsidR="001900F7" w:rsidRPr="00B01843">
        <w:rPr>
          <w:rFonts w:ascii="Arial" w:hAnsi="Arial"/>
        </w:rPr>
        <w:t>a</w:t>
      </w:r>
      <w:r w:rsidR="00B579E2" w:rsidRPr="00B01843">
        <w:rPr>
          <w:rFonts w:ascii="Arial" w:hAnsi="Arial"/>
        </w:rPr>
        <w:t>,</w:t>
      </w:r>
      <w:r w:rsidR="006A7F70" w:rsidRPr="00B01843">
        <w:rPr>
          <w:rFonts w:ascii="Arial" w:hAnsi="Arial"/>
        </w:rPr>
        <w:t xml:space="preserve"> </w:t>
      </w:r>
      <w:r w:rsidR="00AF25A0" w:rsidRPr="00B01843">
        <w:rPr>
          <w:rFonts w:ascii="Arial" w:hAnsi="Arial"/>
        </w:rPr>
        <w:t xml:space="preserve">al concluir que </w:t>
      </w:r>
      <w:r w:rsidR="006A7F70" w:rsidRPr="00B01843">
        <w:rPr>
          <w:rFonts w:ascii="Arial" w:hAnsi="Arial"/>
        </w:rPr>
        <w:t>la Fiscalía General de la Nación ante la ausencia de conducta punible</w:t>
      </w:r>
      <w:r w:rsidR="00B579E2" w:rsidRPr="00B01843">
        <w:rPr>
          <w:rFonts w:ascii="Arial" w:hAnsi="Arial"/>
        </w:rPr>
        <w:t xml:space="preserve"> debió </w:t>
      </w:r>
      <w:r w:rsidR="006A7F70" w:rsidRPr="00B01843">
        <w:rPr>
          <w:rFonts w:ascii="Arial" w:hAnsi="Arial"/>
        </w:rPr>
        <w:t xml:space="preserve">optar por mecanismos alternativos como la libertad provisional mientras se desarrollaba la investigación, por lo que los señores Hipólito Nieto Bonilla y Jorge Iván Ríos Muñoz no estaban obligados a soportar el daño que el Estado le irrogó al privarlos de ese derecho. </w:t>
      </w:r>
    </w:p>
    <w:p w14:paraId="573D3591" w14:textId="77777777" w:rsidR="00522CAF" w:rsidRPr="00B01843" w:rsidRDefault="00522CAF" w:rsidP="00714086">
      <w:pPr>
        <w:spacing w:line="276" w:lineRule="auto"/>
        <w:ind w:right="-8"/>
        <w:contextualSpacing/>
        <w:rPr>
          <w:rFonts w:ascii="Arial" w:hAnsi="Arial"/>
        </w:rPr>
      </w:pPr>
    </w:p>
    <w:p w14:paraId="623CCE52" w14:textId="63372AA5" w:rsidR="00714086" w:rsidRPr="00B01843" w:rsidRDefault="00714086" w:rsidP="00714086">
      <w:pPr>
        <w:spacing w:line="276" w:lineRule="auto"/>
        <w:ind w:right="-8"/>
        <w:contextualSpacing/>
        <w:rPr>
          <w:rFonts w:ascii="Arial" w:hAnsi="Arial"/>
        </w:rPr>
      </w:pPr>
      <w:r w:rsidRPr="00B01843">
        <w:rPr>
          <w:rFonts w:ascii="Arial" w:hAnsi="Arial"/>
        </w:rPr>
        <w:lastRenderedPageBreak/>
        <w:t xml:space="preserve">Sostuvo que el </w:t>
      </w:r>
      <w:r w:rsidR="00B96EB0" w:rsidRPr="00B01843">
        <w:rPr>
          <w:rFonts w:ascii="Arial" w:hAnsi="Arial"/>
        </w:rPr>
        <w:t>Consejo de Estado, Sección Tercera, Subsección C</w:t>
      </w:r>
      <w:r w:rsidR="00AC2648" w:rsidRPr="00B01843">
        <w:rPr>
          <w:rFonts w:ascii="Arial" w:hAnsi="Arial"/>
        </w:rPr>
        <w:t xml:space="preserve">, </w:t>
      </w:r>
      <w:r w:rsidR="00C5095E" w:rsidRPr="00B01843">
        <w:rPr>
          <w:rFonts w:ascii="Arial" w:hAnsi="Arial"/>
        </w:rPr>
        <w:t xml:space="preserve">por medio de </w:t>
      </w:r>
      <w:r w:rsidRPr="00B01843">
        <w:rPr>
          <w:rFonts w:ascii="Arial" w:hAnsi="Arial"/>
        </w:rPr>
        <w:t>providencia de</w:t>
      </w:r>
      <w:r w:rsidR="00AC2648" w:rsidRPr="00B01843">
        <w:rPr>
          <w:rFonts w:ascii="Arial" w:hAnsi="Arial"/>
        </w:rPr>
        <w:t xml:space="preserve"> 29 de julio de 2019, al resolver los recursos de apelación interpuestos por la Fiscalía General de la Nación y los</w:t>
      </w:r>
      <w:r w:rsidR="00522CAF" w:rsidRPr="00B01843">
        <w:rPr>
          <w:rFonts w:ascii="Arial" w:hAnsi="Arial"/>
        </w:rPr>
        <w:t xml:space="preserve"> demandantes</w:t>
      </w:r>
      <w:r w:rsidR="00AC2648" w:rsidRPr="00B01843">
        <w:rPr>
          <w:rFonts w:ascii="Arial" w:hAnsi="Arial"/>
        </w:rPr>
        <w:t xml:space="preserve">, </w:t>
      </w:r>
      <w:r w:rsidRPr="00B01843">
        <w:rPr>
          <w:rFonts w:ascii="Arial" w:hAnsi="Arial"/>
        </w:rPr>
        <w:t xml:space="preserve">revocó el fallo del </w:t>
      </w:r>
      <w:r w:rsidRPr="00B01843">
        <w:rPr>
          <w:rFonts w:ascii="Arial" w:hAnsi="Arial"/>
          <w:i/>
        </w:rPr>
        <w:t>a quo</w:t>
      </w:r>
      <w:r w:rsidRPr="00B01843">
        <w:rPr>
          <w:rFonts w:ascii="Arial" w:hAnsi="Arial"/>
        </w:rPr>
        <w:t xml:space="preserve"> y, en su lugar, denegó las súplicas </w:t>
      </w:r>
      <w:r w:rsidR="00522CAF" w:rsidRPr="00B01843">
        <w:rPr>
          <w:rFonts w:ascii="Arial" w:hAnsi="Arial"/>
        </w:rPr>
        <w:t xml:space="preserve">con respaldo en que la medida cautelar se desarrolló por la autoridad competente de manera legal, necesaria, proporcional y razonable, por lo que el daño sufrido no podía constituirse en antijurídico. </w:t>
      </w:r>
    </w:p>
    <w:p w14:paraId="51C4070A" w14:textId="77777777" w:rsidR="00714086" w:rsidRPr="00B01843" w:rsidRDefault="00714086" w:rsidP="00714086">
      <w:pPr>
        <w:spacing w:line="276" w:lineRule="auto"/>
        <w:ind w:right="-8"/>
        <w:contextualSpacing/>
        <w:rPr>
          <w:rFonts w:ascii="Arial" w:hAnsi="Arial"/>
        </w:rPr>
      </w:pPr>
    </w:p>
    <w:p w14:paraId="684EF002" w14:textId="77777777" w:rsidR="00714086" w:rsidRPr="00B01843" w:rsidRDefault="00714086" w:rsidP="00714086">
      <w:pPr>
        <w:spacing w:line="276" w:lineRule="auto"/>
        <w:ind w:right="-8"/>
        <w:contextualSpacing/>
        <w:rPr>
          <w:rFonts w:ascii="Arial" w:hAnsi="Arial"/>
          <w:b/>
        </w:rPr>
      </w:pPr>
      <w:r w:rsidRPr="00B01843">
        <w:rPr>
          <w:rFonts w:ascii="Arial" w:hAnsi="Arial"/>
          <w:b/>
        </w:rPr>
        <w:t>3. Sustento de la vulneración</w:t>
      </w:r>
    </w:p>
    <w:p w14:paraId="375A73B7" w14:textId="77777777" w:rsidR="00990D10" w:rsidRPr="00B01843" w:rsidRDefault="00990D10" w:rsidP="00990D10">
      <w:pPr>
        <w:spacing w:line="276" w:lineRule="auto"/>
        <w:ind w:right="-8"/>
        <w:rPr>
          <w:rFonts w:ascii="Arial" w:hAnsi="Arial"/>
        </w:rPr>
      </w:pPr>
    </w:p>
    <w:p w14:paraId="2415F80B" w14:textId="77777777" w:rsidR="00C875A7" w:rsidRPr="00B01843" w:rsidRDefault="00714086" w:rsidP="00C875A7">
      <w:pPr>
        <w:spacing w:line="276" w:lineRule="auto"/>
        <w:ind w:right="-8"/>
        <w:rPr>
          <w:rFonts w:ascii="Arial" w:hAnsi="Arial"/>
          <w:lang w:val="es-CO"/>
        </w:rPr>
      </w:pPr>
      <w:r w:rsidRPr="00B01843">
        <w:rPr>
          <w:rFonts w:ascii="Arial" w:hAnsi="Arial"/>
        </w:rPr>
        <w:t xml:space="preserve">A juicio de la parte actora, </w:t>
      </w:r>
      <w:r w:rsidR="00C875A7" w:rsidRPr="00B01843">
        <w:rPr>
          <w:rFonts w:ascii="Arial" w:hAnsi="Arial"/>
        </w:rPr>
        <w:t xml:space="preserve">el Consejo de Estado, Sección Tercera, Subsección C, </w:t>
      </w:r>
      <w:r w:rsidR="007E2269" w:rsidRPr="00B01843">
        <w:rPr>
          <w:rFonts w:ascii="Arial" w:hAnsi="Arial"/>
        </w:rPr>
        <w:t>en la providencia en cuestión</w:t>
      </w:r>
      <w:r w:rsidR="0024168D" w:rsidRPr="00B01843">
        <w:rPr>
          <w:rFonts w:ascii="Arial" w:hAnsi="Arial"/>
        </w:rPr>
        <w:t>, transgredió sus derechos fundamentales, así como el principio de confianza legítima,</w:t>
      </w:r>
      <w:r w:rsidR="00C875A7" w:rsidRPr="00B01843">
        <w:rPr>
          <w:rFonts w:ascii="Arial" w:hAnsi="Arial"/>
        </w:rPr>
        <w:t xml:space="preserve"> tras resolver la controversia planteada</w:t>
      </w:r>
      <w:r w:rsidR="00D55282" w:rsidRPr="00B01843">
        <w:rPr>
          <w:rFonts w:ascii="Arial" w:hAnsi="Arial"/>
        </w:rPr>
        <w:t xml:space="preserve"> </w:t>
      </w:r>
      <w:r w:rsidR="00C875A7" w:rsidRPr="00B01843">
        <w:rPr>
          <w:rFonts w:ascii="Arial" w:hAnsi="Arial"/>
        </w:rPr>
        <w:t xml:space="preserve">al tenor de los parámetros fijados </w:t>
      </w:r>
      <w:r w:rsidR="00D55282" w:rsidRPr="00B01843">
        <w:rPr>
          <w:rFonts w:ascii="Arial" w:hAnsi="Arial"/>
        </w:rPr>
        <w:t xml:space="preserve">en </w:t>
      </w:r>
      <w:r w:rsidR="00C875A7" w:rsidRPr="00B01843">
        <w:rPr>
          <w:rFonts w:ascii="Arial" w:hAnsi="Arial"/>
        </w:rPr>
        <w:t>la sentencia de unificación de 15 de agosto de 2018</w:t>
      </w:r>
      <w:r w:rsidR="00C875A7" w:rsidRPr="00B01843">
        <w:rPr>
          <w:rStyle w:val="Refdenotaalpie"/>
          <w:rFonts w:ascii="Arial" w:hAnsi="Arial"/>
          <w:color w:val="000000" w:themeColor="text1"/>
          <w:shd w:val="clear" w:color="auto" w:fill="FFFFFF"/>
        </w:rPr>
        <w:footnoteReference w:id="3"/>
      </w:r>
      <w:r w:rsidR="00565748" w:rsidRPr="00B01843">
        <w:rPr>
          <w:rFonts w:ascii="Arial" w:hAnsi="Arial"/>
        </w:rPr>
        <w:t xml:space="preserve">, </w:t>
      </w:r>
      <w:r w:rsidR="00990D10" w:rsidRPr="00B01843">
        <w:rPr>
          <w:rFonts w:ascii="Arial" w:hAnsi="Arial"/>
        </w:rPr>
        <w:t xml:space="preserve">debido a que </w:t>
      </w:r>
      <w:r w:rsidR="00565748" w:rsidRPr="00B01843">
        <w:rPr>
          <w:rFonts w:ascii="Arial" w:hAnsi="Arial"/>
        </w:rPr>
        <w:t xml:space="preserve">los hechos </w:t>
      </w:r>
      <w:r w:rsidR="00352B66" w:rsidRPr="00B01843">
        <w:rPr>
          <w:rFonts w:ascii="Arial" w:hAnsi="Arial"/>
        </w:rPr>
        <w:t xml:space="preserve">sobre los que giró en torno el debate en el medio de control de reparación directa ocurrieron </w:t>
      </w:r>
      <w:r w:rsidR="00D55282" w:rsidRPr="00B01843">
        <w:rPr>
          <w:rFonts w:ascii="Arial" w:hAnsi="Arial"/>
        </w:rPr>
        <w:t xml:space="preserve">desde el </w:t>
      </w:r>
      <w:r w:rsidR="00565748" w:rsidRPr="00B01843">
        <w:rPr>
          <w:rFonts w:ascii="Arial" w:hAnsi="Arial"/>
        </w:rPr>
        <w:t xml:space="preserve">año 2004 </w:t>
      </w:r>
      <w:r w:rsidR="00D55282" w:rsidRPr="00B01843">
        <w:rPr>
          <w:rFonts w:ascii="Arial" w:hAnsi="Arial"/>
        </w:rPr>
        <w:t xml:space="preserve">hasta el </w:t>
      </w:r>
      <w:r w:rsidR="00565748" w:rsidRPr="00B01843">
        <w:rPr>
          <w:rFonts w:ascii="Arial" w:hAnsi="Arial"/>
        </w:rPr>
        <w:t>2007, esto es, en vigencia del régimen de imputación objetiva que</w:t>
      </w:r>
      <w:r w:rsidR="00544CBB" w:rsidRPr="00B01843">
        <w:rPr>
          <w:rFonts w:ascii="Arial" w:hAnsi="Arial"/>
        </w:rPr>
        <w:t xml:space="preserve"> </w:t>
      </w:r>
      <w:r w:rsidR="00565748" w:rsidRPr="00B01843">
        <w:rPr>
          <w:rFonts w:ascii="Arial" w:hAnsi="Arial"/>
        </w:rPr>
        <w:t xml:space="preserve">esa misma colegiatura </w:t>
      </w:r>
      <w:r w:rsidR="000375B3" w:rsidRPr="00B01843">
        <w:rPr>
          <w:rFonts w:ascii="Arial" w:hAnsi="Arial"/>
        </w:rPr>
        <w:t xml:space="preserve">estableció </w:t>
      </w:r>
      <w:r w:rsidR="00565748" w:rsidRPr="00B01843">
        <w:rPr>
          <w:rFonts w:ascii="Arial" w:hAnsi="Arial"/>
        </w:rPr>
        <w:t xml:space="preserve">para resolver </w:t>
      </w:r>
      <w:r w:rsidR="00D55282" w:rsidRPr="00B01843">
        <w:rPr>
          <w:rFonts w:ascii="Arial" w:hAnsi="Arial"/>
        </w:rPr>
        <w:t xml:space="preserve">los </w:t>
      </w:r>
      <w:r w:rsidR="00565748" w:rsidRPr="00B01843">
        <w:rPr>
          <w:rFonts w:ascii="Arial" w:hAnsi="Arial"/>
        </w:rPr>
        <w:t xml:space="preserve">asuntos </w:t>
      </w:r>
      <w:r w:rsidR="00544CBB" w:rsidRPr="00B01843">
        <w:rPr>
          <w:rFonts w:ascii="Arial" w:hAnsi="Arial"/>
        </w:rPr>
        <w:t xml:space="preserve">de responsabilidad </w:t>
      </w:r>
      <w:r w:rsidR="00F77457" w:rsidRPr="00B01843">
        <w:rPr>
          <w:rFonts w:ascii="Arial" w:hAnsi="Arial"/>
        </w:rPr>
        <w:t xml:space="preserve">patrimonial </w:t>
      </w:r>
      <w:r w:rsidR="00544CBB" w:rsidRPr="00B01843">
        <w:rPr>
          <w:rFonts w:ascii="Arial" w:hAnsi="Arial"/>
        </w:rPr>
        <w:t xml:space="preserve">del Estado derivada de la privación </w:t>
      </w:r>
      <w:r w:rsidR="008375A9" w:rsidRPr="00B01843">
        <w:rPr>
          <w:rFonts w:ascii="Arial" w:hAnsi="Arial"/>
        </w:rPr>
        <w:t xml:space="preserve">injusta </w:t>
      </w:r>
      <w:r w:rsidR="00544CBB" w:rsidRPr="00B01843">
        <w:rPr>
          <w:rFonts w:ascii="Arial" w:hAnsi="Arial"/>
        </w:rPr>
        <w:t>de la libertad.</w:t>
      </w:r>
    </w:p>
    <w:p w14:paraId="79D97930" w14:textId="77777777" w:rsidR="0024168D" w:rsidRPr="00B01843" w:rsidRDefault="0024168D" w:rsidP="00C875A7">
      <w:pPr>
        <w:spacing w:line="276" w:lineRule="auto"/>
        <w:ind w:right="-8"/>
        <w:rPr>
          <w:rFonts w:ascii="Arial" w:hAnsi="Arial"/>
        </w:rPr>
      </w:pPr>
    </w:p>
    <w:p w14:paraId="270B134F" w14:textId="77777777" w:rsidR="0024168D" w:rsidRPr="00B01843" w:rsidRDefault="007E7C8C" w:rsidP="00C875A7">
      <w:pPr>
        <w:spacing w:line="276" w:lineRule="auto"/>
        <w:ind w:right="-8"/>
        <w:rPr>
          <w:rFonts w:ascii="Arial" w:hAnsi="Arial"/>
          <w:lang w:val="es-CO"/>
        </w:rPr>
      </w:pPr>
      <w:r w:rsidRPr="00B01843">
        <w:rPr>
          <w:rFonts w:ascii="Arial" w:hAnsi="Arial"/>
        </w:rPr>
        <w:t>Por lo anterior</w:t>
      </w:r>
      <w:r w:rsidR="0024168D" w:rsidRPr="00B01843">
        <w:rPr>
          <w:rFonts w:ascii="Arial" w:hAnsi="Arial"/>
        </w:rPr>
        <w:t xml:space="preserve">, </w:t>
      </w:r>
      <w:r w:rsidRPr="00B01843">
        <w:rPr>
          <w:rFonts w:ascii="Arial" w:hAnsi="Arial"/>
        </w:rPr>
        <w:t>sostuvo</w:t>
      </w:r>
      <w:r w:rsidR="0024168D" w:rsidRPr="00B01843">
        <w:rPr>
          <w:rFonts w:ascii="Arial" w:hAnsi="Arial"/>
        </w:rPr>
        <w:t xml:space="preserve"> que la autoridad censurada incurrió en</w:t>
      </w:r>
      <w:r w:rsidR="00397989" w:rsidRPr="00B01843">
        <w:rPr>
          <w:rFonts w:ascii="Arial" w:hAnsi="Arial"/>
        </w:rPr>
        <w:t xml:space="preserve"> los siguientes yerros: </w:t>
      </w:r>
      <w:r w:rsidR="00397989" w:rsidRPr="00B01843">
        <w:rPr>
          <w:rFonts w:ascii="Arial" w:hAnsi="Arial"/>
          <w:b/>
          <w:bCs/>
        </w:rPr>
        <w:t>(i) defecto procedimental absoluto</w:t>
      </w:r>
      <w:r w:rsidR="00397989" w:rsidRPr="00B01843">
        <w:rPr>
          <w:rFonts w:ascii="Arial" w:hAnsi="Arial"/>
        </w:rPr>
        <w:t>, por cuando actuó al margen de la doctrina y la tesis jurisprudencial vigente a la fecha de los hechos;</w:t>
      </w:r>
      <w:r w:rsidR="005C6CCB" w:rsidRPr="00B01843">
        <w:rPr>
          <w:rFonts w:ascii="Arial" w:hAnsi="Arial"/>
        </w:rPr>
        <w:t xml:space="preserve"> </w:t>
      </w:r>
      <w:r w:rsidR="00397989" w:rsidRPr="00B01843">
        <w:rPr>
          <w:rFonts w:ascii="Arial" w:hAnsi="Arial"/>
          <w:b/>
          <w:bCs/>
        </w:rPr>
        <w:t>(ii) desconocimiento del precedente</w:t>
      </w:r>
      <w:r w:rsidR="00397989" w:rsidRPr="00B01843">
        <w:rPr>
          <w:rFonts w:ascii="Arial" w:hAnsi="Arial"/>
        </w:rPr>
        <w:t xml:space="preserve">, </w:t>
      </w:r>
      <w:r w:rsidR="00902B18" w:rsidRPr="00B01843">
        <w:rPr>
          <w:rFonts w:ascii="Arial" w:hAnsi="Arial"/>
        </w:rPr>
        <w:t>dado que no tuvo en cuenta la sentencia de unificación de 27 de junio de 2017</w:t>
      </w:r>
      <w:r w:rsidR="00FE170C" w:rsidRPr="00B01843">
        <w:rPr>
          <w:rStyle w:val="Refdenotaalpie"/>
          <w:rFonts w:ascii="Arial" w:hAnsi="Arial"/>
        </w:rPr>
        <w:footnoteReference w:id="4"/>
      </w:r>
      <w:r w:rsidR="00184D9B" w:rsidRPr="00B01843">
        <w:rPr>
          <w:rFonts w:ascii="Arial" w:hAnsi="Arial"/>
        </w:rPr>
        <w:t xml:space="preserve"> proferida por la Sala Plena de la Sección Tercera de esta Corporación,</w:t>
      </w:r>
      <w:r w:rsidR="00902B18" w:rsidRPr="00B01843">
        <w:rPr>
          <w:rFonts w:ascii="Arial" w:hAnsi="Arial"/>
        </w:rPr>
        <w:t xml:space="preserve"> </w:t>
      </w:r>
      <w:r w:rsidR="008F31C7" w:rsidRPr="00B01843">
        <w:rPr>
          <w:rFonts w:ascii="Arial" w:hAnsi="Arial"/>
        </w:rPr>
        <w:t xml:space="preserve">en el entendido de </w:t>
      </w:r>
      <w:r w:rsidR="00990D10" w:rsidRPr="00B01843">
        <w:rPr>
          <w:rFonts w:ascii="Arial" w:hAnsi="Arial"/>
        </w:rPr>
        <w:t>aplica</w:t>
      </w:r>
      <w:r w:rsidR="008F31C7" w:rsidRPr="00B01843">
        <w:rPr>
          <w:rFonts w:ascii="Arial" w:hAnsi="Arial"/>
        </w:rPr>
        <w:t xml:space="preserve">r </w:t>
      </w:r>
      <w:r w:rsidR="00990D10" w:rsidRPr="00B01843">
        <w:rPr>
          <w:rFonts w:ascii="Arial" w:hAnsi="Arial"/>
        </w:rPr>
        <w:t xml:space="preserve">la figura </w:t>
      </w:r>
      <w:r w:rsidR="00990D10" w:rsidRPr="00B01843">
        <w:rPr>
          <w:rFonts w:ascii="Arial" w:hAnsi="Arial"/>
          <w:lang w:val="es-CO"/>
        </w:rPr>
        <w:t xml:space="preserve">jurídica llamada </w:t>
      </w:r>
      <w:r w:rsidR="00990D10" w:rsidRPr="00B01843">
        <w:rPr>
          <w:rFonts w:ascii="Arial" w:hAnsi="Arial"/>
          <w:i/>
          <w:iCs/>
          <w:lang w:val="es-CO"/>
        </w:rPr>
        <w:t>“jurisprudencia anunciada”</w:t>
      </w:r>
      <w:r w:rsidR="008F31C7" w:rsidRPr="00B01843">
        <w:rPr>
          <w:rFonts w:ascii="Arial" w:hAnsi="Arial"/>
          <w:lang w:val="es-CO"/>
        </w:rPr>
        <w:t>,</w:t>
      </w:r>
      <w:r w:rsidR="004A539E" w:rsidRPr="00B01843">
        <w:rPr>
          <w:rFonts w:ascii="Arial" w:hAnsi="Arial"/>
          <w:lang w:val="es-CO"/>
        </w:rPr>
        <w:t xml:space="preserve"> </w:t>
      </w:r>
      <w:r w:rsidR="0023163B" w:rsidRPr="00B01843">
        <w:rPr>
          <w:rFonts w:ascii="Arial" w:hAnsi="Arial"/>
          <w:lang w:val="es-CO"/>
        </w:rPr>
        <w:t xml:space="preserve">lo que implicaba que solo se resolverían casos similares bajo los </w:t>
      </w:r>
      <w:r w:rsidR="008F31C7" w:rsidRPr="00B01843">
        <w:rPr>
          <w:rFonts w:ascii="Arial" w:hAnsi="Arial"/>
          <w:lang w:val="es-CO"/>
        </w:rPr>
        <w:t xml:space="preserve">parámetros señalados en la sentencia de unificación </w:t>
      </w:r>
      <w:r w:rsidR="008F31C7" w:rsidRPr="00B01843">
        <w:rPr>
          <w:rFonts w:ascii="Arial" w:hAnsi="Arial"/>
        </w:rPr>
        <w:t>de 15 de agosto de 2018</w:t>
      </w:r>
      <w:r w:rsidR="0023163B" w:rsidRPr="00B01843">
        <w:rPr>
          <w:rFonts w:ascii="Arial" w:hAnsi="Arial"/>
        </w:rPr>
        <w:t xml:space="preserve"> presentados con posterioridad a esta fecha</w:t>
      </w:r>
      <w:r w:rsidR="0028362B" w:rsidRPr="00B01843">
        <w:rPr>
          <w:rFonts w:ascii="Arial" w:hAnsi="Arial"/>
        </w:rPr>
        <w:t>; y,</w:t>
      </w:r>
      <w:r w:rsidR="00990D10" w:rsidRPr="00B01843">
        <w:rPr>
          <w:rFonts w:ascii="Arial" w:hAnsi="Arial"/>
        </w:rPr>
        <w:t xml:space="preserve"> </w:t>
      </w:r>
      <w:r w:rsidR="0028362B" w:rsidRPr="00B01843">
        <w:rPr>
          <w:rFonts w:ascii="Arial" w:hAnsi="Arial"/>
          <w:b/>
          <w:bCs/>
        </w:rPr>
        <w:t>(iii) violación directa de la Constitución,</w:t>
      </w:r>
      <w:r w:rsidR="0028362B" w:rsidRPr="00B01843">
        <w:rPr>
          <w:rFonts w:ascii="Arial" w:hAnsi="Arial"/>
        </w:rPr>
        <w:t xml:space="preserve"> toda vez que vulneró el derecho fundamental al debido proceso</w:t>
      </w:r>
      <w:r w:rsidR="00990D10" w:rsidRPr="00B01843">
        <w:rPr>
          <w:rFonts w:ascii="Arial" w:hAnsi="Arial"/>
        </w:rPr>
        <w:t xml:space="preserve">. </w:t>
      </w:r>
    </w:p>
    <w:p w14:paraId="6EF094B0" w14:textId="77777777" w:rsidR="00C875A7" w:rsidRPr="00B01843" w:rsidRDefault="00C875A7" w:rsidP="00C875A7">
      <w:pPr>
        <w:spacing w:line="276" w:lineRule="auto"/>
        <w:ind w:right="-8"/>
        <w:rPr>
          <w:rFonts w:ascii="Arial" w:hAnsi="Arial"/>
        </w:rPr>
      </w:pPr>
    </w:p>
    <w:p w14:paraId="1E851FB9" w14:textId="77777777" w:rsidR="00714086" w:rsidRPr="00B01843" w:rsidRDefault="00714086" w:rsidP="00714086">
      <w:pPr>
        <w:widowControl w:val="0"/>
        <w:spacing w:line="276" w:lineRule="auto"/>
        <w:contextualSpacing/>
        <w:rPr>
          <w:rFonts w:ascii="Arial" w:hAnsi="Arial"/>
          <w:i/>
        </w:rPr>
      </w:pPr>
      <w:r w:rsidRPr="00B01843">
        <w:rPr>
          <w:rFonts w:ascii="Arial" w:hAnsi="Arial"/>
          <w:b/>
        </w:rPr>
        <w:t>4. Trámite, contestaciones e intervenciones</w:t>
      </w:r>
    </w:p>
    <w:p w14:paraId="741EB261" w14:textId="77777777" w:rsidR="00714086" w:rsidRPr="00B01843" w:rsidRDefault="00714086" w:rsidP="00714086">
      <w:pPr>
        <w:widowControl w:val="0"/>
        <w:spacing w:line="276" w:lineRule="auto"/>
        <w:contextualSpacing/>
        <w:rPr>
          <w:rFonts w:ascii="Arial" w:hAnsi="Arial"/>
          <w:i/>
        </w:rPr>
      </w:pPr>
    </w:p>
    <w:p w14:paraId="58AE1997" w14:textId="77777777" w:rsidR="00714086" w:rsidRPr="00B01843" w:rsidRDefault="00714086" w:rsidP="00714086">
      <w:pPr>
        <w:spacing w:line="276" w:lineRule="auto"/>
        <w:rPr>
          <w:rFonts w:ascii="Arial" w:hAnsi="Arial"/>
        </w:rPr>
      </w:pPr>
      <w:r w:rsidRPr="00B01843">
        <w:rPr>
          <w:rFonts w:ascii="Arial" w:hAnsi="Arial"/>
        </w:rPr>
        <w:t xml:space="preserve">Mediante auto de </w:t>
      </w:r>
      <w:r w:rsidR="00F53BAF" w:rsidRPr="00B01843">
        <w:rPr>
          <w:rFonts w:ascii="Arial" w:hAnsi="Arial"/>
        </w:rPr>
        <w:t>10</w:t>
      </w:r>
      <w:r w:rsidRPr="00B01843">
        <w:rPr>
          <w:rFonts w:ascii="Arial" w:hAnsi="Arial"/>
        </w:rPr>
        <w:t xml:space="preserve"> de marzo 2020</w:t>
      </w:r>
      <w:r w:rsidRPr="00B01843">
        <w:rPr>
          <w:rStyle w:val="Refdenotaalpie"/>
          <w:rFonts w:ascii="Arial" w:hAnsi="Arial"/>
        </w:rPr>
        <w:footnoteReference w:id="5"/>
      </w:r>
      <w:r w:rsidRPr="00B01843">
        <w:rPr>
          <w:rFonts w:ascii="Arial" w:hAnsi="Arial"/>
        </w:rPr>
        <w:t xml:space="preserve">, </w:t>
      </w:r>
      <w:r w:rsidRPr="00B01843">
        <w:rPr>
          <w:rFonts w:ascii="Arial" w:eastAsia="Times New Roman" w:hAnsi="Arial"/>
          <w:lang w:eastAsia="es-ES"/>
        </w:rPr>
        <w:t xml:space="preserve">se </w:t>
      </w:r>
      <w:r w:rsidRPr="00B01843">
        <w:rPr>
          <w:rFonts w:ascii="Arial" w:hAnsi="Arial"/>
        </w:rPr>
        <w:t>admitió la solicitud de amparo y se ordenó notificar esta decisión como tutelados a los magistrados que integran la</w:t>
      </w:r>
      <w:r w:rsidR="00F27EA9" w:rsidRPr="00B01843">
        <w:rPr>
          <w:rFonts w:ascii="Arial" w:hAnsi="Arial"/>
        </w:rPr>
        <w:t xml:space="preserve"> Sección Tercera - Subsección C del Consejo de Estado y la Sección Tercera del Tribunal Administrativo de Cundinamarca</w:t>
      </w:r>
      <w:r w:rsidR="00673920" w:rsidRPr="00B01843">
        <w:rPr>
          <w:rStyle w:val="Refdenotaalpie"/>
          <w:rFonts w:ascii="Arial" w:hAnsi="Arial"/>
        </w:rPr>
        <w:footnoteReference w:id="6"/>
      </w:r>
      <w:r w:rsidRPr="00B01843">
        <w:rPr>
          <w:rFonts w:ascii="Arial" w:hAnsi="Arial"/>
        </w:rPr>
        <w:t>; por tener interés en el resultado de la presente tutela se decidió comunicar al</w:t>
      </w:r>
      <w:r w:rsidR="005E5C57" w:rsidRPr="00B01843">
        <w:rPr>
          <w:rFonts w:ascii="Arial" w:hAnsi="Arial"/>
        </w:rPr>
        <w:t xml:space="preserve"> fiscal General de la Nación, al director general de la Policía Nacional y al ministro de Defensa Nacional. </w:t>
      </w:r>
    </w:p>
    <w:p w14:paraId="2A18947E" w14:textId="77777777" w:rsidR="005E5C57" w:rsidRPr="00B01843" w:rsidRDefault="005E5C57" w:rsidP="00714086">
      <w:pPr>
        <w:spacing w:line="276" w:lineRule="auto"/>
        <w:rPr>
          <w:rFonts w:ascii="Arial" w:hAnsi="Arial"/>
        </w:rPr>
      </w:pPr>
    </w:p>
    <w:p w14:paraId="0C056910" w14:textId="77777777" w:rsidR="005E5C57" w:rsidRPr="00B01843" w:rsidRDefault="005E5C57" w:rsidP="005E5C57">
      <w:pPr>
        <w:widowControl w:val="0"/>
        <w:spacing w:line="276" w:lineRule="auto"/>
        <w:rPr>
          <w:rFonts w:ascii="Arial" w:hAnsi="Arial"/>
        </w:rPr>
      </w:pPr>
      <w:r w:rsidRPr="00B01843">
        <w:rPr>
          <w:rFonts w:ascii="Arial" w:hAnsi="Arial"/>
        </w:rPr>
        <w:lastRenderedPageBreak/>
        <w:t xml:space="preserve">A su vez, se ordenó vincular a los señores Magnolia de Jesús Naranjo Santa, Nicolás Nieto Naranjo, Samuel Nieto Naranjo, María Anais Bonilla Ñustes, Gilberto Nieto Bonilla, Mariela Bonilla, Henry Bonilla, Roque Palomo Bonilla, Evangelista Bonilla, Sorancy Ochoa Rojas, María Camila Ríos Ochoa, David Antonio Ríos Ochoa, Rodrigo Antonio Ríos Álvarez, María Alveny Muñoz, Nathalia Ríos Muñoz, Sandra Liliana Ríos Muñoz y Diana Lucía Ríos Muñoz, quienes integraron la parte demandante del medio de control de reparación directa con radicado 2007-00323-00.  </w:t>
      </w:r>
    </w:p>
    <w:p w14:paraId="469C42A2" w14:textId="77777777" w:rsidR="00BA0510" w:rsidRPr="00B01843" w:rsidRDefault="00BA0510" w:rsidP="005E5C57">
      <w:pPr>
        <w:widowControl w:val="0"/>
        <w:spacing w:line="276" w:lineRule="auto"/>
        <w:rPr>
          <w:rFonts w:ascii="Arial" w:hAnsi="Arial"/>
        </w:rPr>
      </w:pPr>
    </w:p>
    <w:p w14:paraId="73B5270D" w14:textId="77777777" w:rsidR="00BA0510" w:rsidRPr="00B01843" w:rsidRDefault="00BA0510" w:rsidP="00BA0510">
      <w:pPr>
        <w:widowControl w:val="0"/>
        <w:spacing w:line="276" w:lineRule="auto"/>
        <w:rPr>
          <w:rFonts w:ascii="Arial" w:hAnsi="Arial"/>
          <w:lang w:val="es-419"/>
        </w:rPr>
      </w:pPr>
      <w:r w:rsidRPr="00B01843">
        <w:rPr>
          <w:rFonts w:ascii="Arial" w:hAnsi="Arial"/>
          <w:lang w:val="es-419"/>
        </w:rPr>
        <w:t>Para tal efecto, se ordenó a la Secretaría de la Sección Tercera del Tribunal Administrativo de Cundinamarca que fijara un aviso en un lugar visible,</w:t>
      </w:r>
      <w:r w:rsidR="00E87934" w:rsidRPr="00B01843">
        <w:rPr>
          <w:rFonts w:ascii="Arial" w:hAnsi="Arial"/>
          <w:lang w:val="es-419"/>
        </w:rPr>
        <w:t xml:space="preserve"> </w:t>
      </w:r>
      <w:r w:rsidRPr="00B01843">
        <w:rPr>
          <w:rFonts w:ascii="Arial" w:hAnsi="Arial"/>
          <w:lang w:val="es-419"/>
        </w:rPr>
        <w:t xml:space="preserve">previa constancia en el expediente de reparación directa antes señalado y en el sistema de consulta de procesos, en el que </w:t>
      </w:r>
      <w:r w:rsidR="007C109F" w:rsidRPr="00B01843">
        <w:rPr>
          <w:rFonts w:ascii="Arial" w:hAnsi="Arial"/>
          <w:lang w:val="es-419"/>
        </w:rPr>
        <w:t>notificara</w:t>
      </w:r>
      <w:r w:rsidRPr="00B01843">
        <w:rPr>
          <w:rFonts w:ascii="Arial" w:hAnsi="Arial"/>
          <w:lang w:val="es-419"/>
        </w:rPr>
        <w:t xml:space="preserve"> a las citadas personas sobre la existencia de esta acción</w:t>
      </w:r>
      <w:r w:rsidR="007C109F" w:rsidRPr="00B01843">
        <w:rPr>
          <w:rFonts w:ascii="Arial" w:hAnsi="Arial"/>
          <w:lang w:val="es-419"/>
        </w:rPr>
        <w:t xml:space="preserve"> de tutela. </w:t>
      </w:r>
    </w:p>
    <w:p w14:paraId="07A814A3" w14:textId="77777777" w:rsidR="006E22A0" w:rsidRPr="00B01843" w:rsidRDefault="006E22A0" w:rsidP="00BA0510">
      <w:pPr>
        <w:widowControl w:val="0"/>
        <w:spacing w:line="276" w:lineRule="auto"/>
        <w:rPr>
          <w:rFonts w:ascii="Arial" w:hAnsi="Arial"/>
          <w:lang w:val="es-419"/>
        </w:rPr>
      </w:pPr>
    </w:p>
    <w:p w14:paraId="562C6EE1" w14:textId="77777777" w:rsidR="00714086" w:rsidRPr="00B01843" w:rsidRDefault="00714086" w:rsidP="00714086">
      <w:pPr>
        <w:widowControl w:val="0"/>
        <w:spacing w:line="276" w:lineRule="auto"/>
        <w:rPr>
          <w:rFonts w:ascii="Arial" w:hAnsi="Arial"/>
        </w:rPr>
      </w:pPr>
      <w:r w:rsidRPr="00B01843">
        <w:rPr>
          <w:rFonts w:ascii="Arial" w:hAnsi="Arial"/>
        </w:rPr>
        <w:t>Remitidas las respectivas comunicaciones</w:t>
      </w:r>
      <w:r w:rsidR="00062F9B" w:rsidRPr="00B01843">
        <w:rPr>
          <w:rStyle w:val="Refdenotaalpie"/>
          <w:rFonts w:ascii="Arial" w:hAnsi="Arial"/>
        </w:rPr>
        <w:footnoteReference w:id="7"/>
      </w:r>
      <w:r w:rsidRPr="00B01843">
        <w:rPr>
          <w:rFonts w:ascii="Arial" w:hAnsi="Arial"/>
        </w:rPr>
        <w:t xml:space="preserve">, </w:t>
      </w:r>
      <w:r w:rsidR="004E0379" w:rsidRPr="00B01843">
        <w:rPr>
          <w:rFonts w:ascii="Arial" w:hAnsi="Arial"/>
        </w:rPr>
        <w:t xml:space="preserve">intervinieron como sigue: </w:t>
      </w:r>
    </w:p>
    <w:p w14:paraId="01A69A63" w14:textId="77777777" w:rsidR="00714086" w:rsidRPr="00B01843" w:rsidRDefault="00714086" w:rsidP="00714086">
      <w:pPr>
        <w:spacing w:line="276" w:lineRule="auto"/>
        <w:ind w:right="-8"/>
        <w:rPr>
          <w:rFonts w:ascii="Arial" w:hAnsi="Arial"/>
          <w:b/>
        </w:rPr>
      </w:pPr>
    </w:p>
    <w:p w14:paraId="6F7D89F9" w14:textId="77777777" w:rsidR="007B1B7D" w:rsidRPr="00B01843" w:rsidRDefault="00714086" w:rsidP="007B1B7D">
      <w:pPr>
        <w:spacing w:line="276" w:lineRule="auto"/>
        <w:ind w:right="-8"/>
        <w:rPr>
          <w:rFonts w:ascii="Arial" w:hAnsi="Arial"/>
        </w:rPr>
      </w:pPr>
      <w:r w:rsidRPr="00B01843">
        <w:rPr>
          <w:rFonts w:ascii="Arial" w:hAnsi="Arial"/>
          <w:b/>
        </w:rPr>
        <w:t xml:space="preserve">4.1. </w:t>
      </w:r>
      <w:r w:rsidR="00062F9B" w:rsidRPr="00B01843">
        <w:rPr>
          <w:rFonts w:ascii="Arial" w:hAnsi="Arial"/>
          <w:b/>
          <w:bCs/>
        </w:rPr>
        <w:t xml:space="preserve">Consejo de Estado, Sección Tercera, Subsección C, </w:t>
      </w:r>
      <w:r w:rsidR="00062F9B" w:rsidRPr="00B01843">
        <w:rPr>
          <w:rFonts w:ascii="Arial" w:hAnsi="Arial"/>
        </w:rPr>
        <w:t xml:space="preserve">el magistrado ponente de la providencia controvertida, mediante escrito </w:t>
      </w:r>
      <w:r w:rsidR="007A3DA6" w:rsidRPr="00B01843">
        <w:rPr>
          <w:rFonts w:ascii="Arial" w:hAnsi="Arial"/>
        </w:rPr>
        <w:t>presentado el</w:t>
      </w:r>
      <w:r w:rsidR="00062F9B" w:rsidRPr="00B01843">
        <w:rPr>
          <w:rFonts w:ascii="Arial" w:hAnsi="Arial"/>
        </w:rPr>
        <w:t xml:space="preserve"> 16 de marzo</w:t>
      </w:r>
      <w:r w:rsidR="007A3DA6" w:rsidRPr="00B01843">
        <w:rPr>
          <w:rFonts w:ascii="Arial" w:hAnsi="Arial"/>
        </w:rPr>
        <w:t xml:space="preserve"> del año en curso</w:t>
      </w:r>
      <w:r w:rsidR="00062F9B" w:rsidRPr="00B01843">
        <w:rPr>
          <w:rStyle w:val="Refdenotaalpie"/>
          <w:rFonts w:ascii="Arial" w:hAnsi="Arial"/>
        </w:rPr>
        <w:footnoteReference w:id="8"/>
      </w:r>
      <w:r w:rsidR="00062F9B" w:rsidRPr="00B01843">
        <w:rPr>
          <w:rFonts w:ascii="Arial" w:hAnsi="Arial"/>
        </w:rPr>
        <w:t>, se opuso al amparo solicitado</w:t>
      </w:r>
      <w:r w:rsidR="00D71155" w:rsidRPr="00B01843">
        <w:rPr>
          <w:rFonts w:ascii="Arial" w:hAnsi="Arial"/>
        </w:rPr>
        <w:t xml:space="preserve"> tras explicar que </w:t>
      </w:r>
      <w:r w:rsidR="00AC0B29" w:rsidRPr="00B01843">
        <w:rPr>
          <w:rFonts w:ascii="Arial" w:hAnsi="Arial"/>
        </w:rPr>
        <w:t xml:space="preserve">el caso sometido a su consideración se adelantó conforme a los lineamientos jurisprudenciales que para la época del fallo estaban vigentes, sin que </w:t>
      </w:r>
      <w:r w:rsidR="007B1B7D" w:rsidRPr="00B01843">
        <w:rPr>
          <w:rFonts w:ascii="Arial" w:hAnsi="Arial"/>
        </w:rPr>
        <w:t>esa colegiatura</w:t>
      </w:r>
      <w:r w:rsidR="00D71155" w:rsidRPr="00B01843">
        <w:rPr>
          <w:rFonts w:ascii="Arial" w:hAnsi="Arial"/>
        </w:rPr>
        <w:t xml:space="preserve"> </w:t>
      </w:r>
      <w:r w:rsidR="007E23C5" w:rsidRPr="00B01843">
        <w:rPr>
          <w:rFonts w:ascii="Arial" w:hAnsi="Arial"/>
        </w:rPr>
        <w:t xml:space="preserve">entrara a realizar </w:t>
      </w:r>
      <w:r w:rsidR="00D71155" w:rsidRPr="00B01843">
        <w:rPr>
          <w:rFonts w:ascii="Arial" w:hAnsi="Arial"/>
        </w:rPr>
        <w:t xml:space="preserve">un </w:t>
      </w:r>
      <w:r w:rsidR="00AC0B29" w:rsidRPr="00B01843">
        <w:rPr>
          <w:rFonts w:ascii="Arial" w:hAnsi="Arial"/>
        </w:rPr>
        <w:t xml:space="preserve">análisis </w:t>
      </w:r>
      <w:r w:rsidR="007B1B7D" w:rsidRPr="00B01843">
        <w:rPr>
          <w:rFonts w:ascii="Arial" w:hAnsi="Arial"/>
        </w:rPr>
        <w:t xml:space="preserve">del </w:t>
      </w:r>
      <w:r w:rsidR="00D71155" w:rsidRPr="00B01843">
        <w:rPr>
          <w:rFonts w:ascii="Arial" w:hAnsi="Arial"/>
        </w:rPr>
        <w:t>juicio de imputació</w:t>
      </w:r>
      <w:r w:rsidR="007E23C5" w:rsidRPr="00B01843">
        <w:rPr>
          <w:rFonts w:ascii="Arial" w:hAnsi="Arial"/>
        </w:rPr>
        <w:t>n</w:t>
      </w:r>
      <w:r w:rsidR="007B1B7D" w:rsidRPr="00B01843">
        <w:rPr>
          <w:rFonts w:ascii="Arial" w:hAnsi="Arial"/>
        </w:rPr>
        <w:t xml:space="preserve"> pues </w:t>
      </w:r>
      <w:r w:rsidR="007E23C5" w:rsidRPr="00B01843">
        <w:rPr>
          <w:rFonts w:ascii="Arial" w:hAnsi="Arial"/>
        </w:rPr>
        <w:t xml:space="preserve">había lugar a ello solo si se hubiera encontrado </w:t>
      </w:r>
      <w:r w:rsidR="007B1B7D" w:rsidRPr="00B01843">
        <w:rPr>
          <w:rFonts w:ascii="Arial" w:hAnsi="Arial"/>
          <w:bCs/>
        </w:rPr>
        <w:t>acreditado el padecimiento de un daño antijurídico</w:t>
      </w:r>
      <w:r w:rsidR="007E23C5" w:rsidRPr="00B01843">
        <w:rPr>
          <w:rFonts w:ascii="Arial" w:hAnsi="Arial"/>
          <w:bCs/>
        </w:rPr>
        <w:t xml:space="preserve"> por las víctimas</w:t>
      </w:r>
      <w:r w:rsidR="007B1B7D" w:rsidRPr="00B01843">
        <w:rPr>
          <w:rFonts w:ascii="Arial" w:hAnsi="Arial"/>
          <w:bCs/>
        </w:rPr>
        <w:t xml:space="preserve">, lo cual no sucedió en el asunto </w:t>
      </w:r>
      <w:r w:rsidR="007B1B7D" w:rsidRPr="00B01843">
        <w:rPr>
          <w:rFonts w:ascii="Arial" w:hAnsi="Arial"/>
          <w:bCs/>
          <w:i/>
          <w:iCs/>
        </w:rPr>
        <w:t>sub judice</w:t>
      </w:r>
      <w:r w:rsidR="007E23C5" w:rsidRPr="00B01843">
        <w:rPr>
          <w:rFonts w:ascii="Arial" w:hAnsi="Arial"/>
          <w:bCs/>
        </w:rPr>
        <w:t xml:space="preserve">. </w:t>
      </w:r>
      <w:r w:rsidR="007B1B7D" w:rsidRPr="00B01843">
        <w:rPr>
          <w:rFonts w:ascii="Arial" w:hAnsi="Arial"/>
          <w:bCs/>
        </w:rPr>
        <w:t xml:space="preserve"> </w:t>
      </w:r>
    </w:p>
    <w:p w14:paraId="3E2316A3" w14:textId="77777777" w:rsidR="007B1B7D" w:rsidRPr="00B01843" w:rsidRDefault="007B1B7D" w:rsidP="007B1B7D">
      <w:pPr>
        <w:spacing w:line="276" w:lineRule="auto"/>
        <w:ind w:right="-8"/>
        <w:rPr>
          <w:rFonts w:ascii="Arial" w:hAnsi="Arial"/>
          <w:bCs/>
        </w:rPr>
      </w:pPr>
    </w:p>
    <w:p w14:paraId="63282FEC" w14:textId="77777777" w:rsidR="00473A39" w:rsidRPr="00B01843" w:rsidRDefault="004F787D" w:rsidP="00062F9B">
      <w:pPr>
        <w:spacing w:line="276" w:lineRule="auto"/>
        <w:ind w:right="-8"/>
        <w:rPr>
          <w:rFonts w:ascii="Arial" w:hAnsi="Arial"/>
          <w:bCs/>
        </w:rPr>
      </w:pPr>
      <w:r w:rsidRPr="00B01843">
        <w:rPr>
          <w:rFonts w:ascii="Arial" w:hAnsi="Arial"/>
          <w:bCs/>
        </w:rPr>
        <w:t xml:space="preserve">Con todo, señaló </w:t>
      </w:r>
      <w:r w:rsidR="003713EB" w:rsidRPr="00B01843">
        <w:rPr>
          <w:rFonts w:ascii="Arial" w:hAnsi="Arial"/>
          <w:bCs/>
        </w:rPr>
        <w:t>que si bien era cierto que la Sala Plena de la Sección Tercera de esta Corporación profirió la sentencia de unificación el 15 de agosto de 2018, en relación con los casos de privación injusta de la libertad, también lo era que ese cuerpo colegiado precisó que “</w:t>
      </w:r>
      <w:r w:rsidR="003713EB" w:rsidRPr="00B01843">
        <w:rPr>
          <w:rFonts w:ascii="Arial" w:hAnsi="Arial"/>
          <w:bCs/>
          <w:i/>
          <w:iCs/>
        </w:rPr>
        <w:t>el régimen de responsabilidad (en lo ateniente al título de imputación</w:t>
      </w:r>
      <w:r w:rsidRPr="00B01843">
        <w:rPr>
          <w:rFonts w:ascii="Arial" w:hAnsi="Arial"/>
          <w:bCs/>
          <w:i/>
          <w:iCs/>
        </w:rPr>
        <w:t>) aplicable a los asuntos de privación de la libertad no estaba predeterminado por la ley y que correspondía al juzgador establecerlo de acuerdo con las particularidades del cada caso</w:t>
      </w:r>
      <w:r w:rsidR="00424910" w:rsidRPr="00B01843">
        <w:rPr>
          <w:rFonts w:ascii="Arial" w:hAnsi="Arial"/>
          <w:bCs/>
          <w:i/>
          <w:iCs/>
        </w:rPr>
        <w:t>.</w:t>
      </w:r>
      <w:r w:rsidRPr="00B01843">
        <w:rPr>
          <w:rFonts w:ascii="Arial" w:hAnsi="Arial"/>
          <w:bCs/>
          <w:i/>
          <w:iCs/>
        </w:rPr>
        <w:t>”</w:t>
      </w:r>
      <w:r w:rsidRPr="00B01843">
        <w:rPr>
          <w:rFonts w:ascii="Arial" w:hAnsi="Arial"/>
          <w:bCs/>
        </w:rPr>
        <w:t xml:space="preserve"> </w:t>
      </w:r>
    </w:p>
    <w:p w14:paraId="17C3603B" w14:textId="77777777" w:rsidR="00062F9B" w:rsidRPr="00B01843" w:rsidRDefault="00062F9B" w:rsidP="00062F9B">
      <w:pPr>
        <w:spacing w:line="276" w:lineRule="auto"/>
        <w:ind w:right="-8"/>
        <w:rPr>
          <w:rFonts w:ascii="Arial" w:hAnsi="Arial"/>
          <w:b/>
        </w:rPr>
      </w:pPr>
    </w:p>
    <w:p w14:paraId="3D4F75B3" w14:textId="77777777" w:rsidR="00062F9B" w:rsidRPr="00B01843" w:rsidRDefault="007027D6" w:rsidP="00062F9B">
      <w:pPr>
        <w:spacing w:line="276" w:lineRule="auto"/>
        <w:ind w:right="-8"/>
        <w:rPr>
          <w:rFonts w:ascii="Arial" w:hAnsi="Arial"/>
        </w:rPr>
      </w:pPr>
      <w:r w:rsidRPr="00B01843">
        <w:rPr>
          <w:rFonts w:ascii="Arial" w:hAnsi="Arial"/>
          <w:b/>
        </w:rPr>
        <w:t xml:space="preserve">4.2. </w:t>
      </w:r>
      <w:r w:rsidR="00062F9B" w:rsidRPr="00B01843">
        <w:rPr>
          <w:rFonts w:ascii="Arial" w:hAnsi="Arial"/>
          <w:b/>
        </w:rPr>
        <w:t xml:space="preserve">Fiscalía General de la Nación </w:t>
      </w:r>
      <w:r w:rsidR="00062F9B" w:rsidRPr="00B01843">
        <w:rPr>
          <w:rFonts w:ascii="Arial" w:hAnsi="Arial"/>
          <w:bCs/>
        </w:rPr>
        <w:t xml:space="preserve">con respuesta </w:t>
      </w:r>
      <w:r w:rsidR="007A3DA6" w:rsidRPr="00B01843">
        <w:rPr>
          <w:rFonts w:ascii="Arial" w:hAnsi="Arial"/>
          <w:bCs/>
        </w:rPr>
        <w:t>de 16</w:t>
      </w:r>
      <w:r w:rsidR="00062F9B" w:rsidRPr="00B01843">
        <w:rPr>
          <w:rFonts w:ascii="Arial" w:hAnsi="Arial"/>
          <w:bCs/>
        </w:rPr>
        <w:t xml:space="preserve"> de marzo del presente año</w:t>
      </w:r>
      <w:r w:rsidR="007A3DA6" w:rsidRPr="00B01843">
        <w:rPr>
          <w:rFonts w:ascii="Arial" w:hAnsi="Arial"/>
          <w:bCs/>
        </w:rPr>
        <w:t>,</w:t>
      </w:r>
      <w:r w:rsidR="00062F9B" w:rsidRPr="00B01843">
        <w:rPr>
          <w:rFonts w:ascii="Arial" w:hAnsi="Arial"/>
          <w:bCs/>
        </w:rPr>
        <w:t xml:space="preserve"> </w:t>
      </w:r>
      <w:r w:rsidR="00062F9B" w:rsidRPr="00B01843">
        <w:rPr>
          <w:rFonts w:ascii="Arial" w:hAnsi="Arial"/>
        </w:rPr>
        <w:t>la coordinadora de la Unidad de Defensa Jurídica de la Dirección de Asuntos Jurídicos de la entidad</w:t>
      </w:r>
      <w:r w:rsidR="007A3DA6" w:rsidRPr="00B01843">
        <w:rPr>
          <w:rFonts w:ascii="Arial" w:hAnsi="Arial"/>
        </w:rPr>
        <w:t xml:space="preserve"> </w:t>
      </w:r>
      <w:r w:rsidR="00062F9B" w:rsidRPr="00B01843">
        <w:rPr>
          <w:rFonts w:ascii="Arial" w:hAnsi="Arial"/>
        </w:rPr>
        <w:t>adujo que la acción de tutela es improcedente</w:t>
      </w:r>
      <w:r w:rsidR="007A3DA6" w:rsidRPr="00B01843">
        <w:rPr>
          <w:rFonts w:ascii="Arial" w:hAnsi="Arial"/>
        </w:rPr>
        <w:t>, en atención a que</w:t>
      </w:r>
      <w:r w:rsidR="00842AD5" w:rsidRPr="00B01843">
        <w:rPr>
          <w:rFonts w:ascii="Arial" w:hAnsi="Arial"/>
        </w:rPr>
        <w:t xml:space="preserve"> </w:t>
      </w:r>
      <w:r w:rsidR="00062F9B" w:rsidRPr="00B01843">
        <w:rPr>
          <w:rFonts w:ascii="Arial" w:hAnsi="Arial"/>
        </w:rPr>
        <w:t xml:space="preserve">la parte </w:t>
      </w:r>
      <w:r w:rsidR="007A3DA6" w:rsidRPr="00B01843">
        <w:rPr>
          <w:rFonts w:ascii="Arial" w:hAnsi="Arial"/>
        </w:rPr>
        <w:t xml:space="preserve">actora </w:t>
      </w:r>
      <w:r w:rsidR="00062F9B" w:rsidRPr="00B01843">
        <w:rPr>
          <w:rFonts w:ascii="Arial" w:hAnsi="Arial"/>
        </w:rPr>
        <w:t>no sustentó la configuración de</w:t>
      </w:r>
      <w:r w:rsidR="007A3DA6" w:rsidRPr="00B01843">
        <w:rPr>
          <w:rFonts w:ascii="Arial" w:hAnsi="Arial"/>
        </w:rPr>
        <w:t xml:space="preserve"> los presuntos defectos en los que incurrió la autoridad judicial censurada, </w:t>
      </w:r>
      <w:r w:rsidR="00062F9B" w:rsidRPr="00B01843">
        <w:rPr>
          <w:rFonts w:ascii="Arial" w:hAnsi="Arial"/>
        </w:rPr>
        <w:t xml:space="preserve">a pesar de que tenía la carga de la prueba. </w:t>
      </w:r>
    </w:p>
    <w:p w14:paraId="2C632BB2" w14:textId="77777777" w:rsidR="00157551" w:rsidRPr="00B01843" w:rsidRDefault="00157551" w:rsidP="00062F9B">
      <w:pPr>
        <w:spacing w:line="276" w:lineRule="auto"/>
        <w:ind w:right="-8"/>
        <w:rPr>
          <w:rFonts w:ascii="Arial" w:hAnsi="Arial"/>
        </w:rPr>
      </w:pPr>
    </w:p>
    <w:p w14:paraId="73901311" w14:textId="5B3E2B9B" w:rsidR="009F2E1E" w:rsidRPr="00B01843" w:rsidRDefault="00157551" w:rsidP="00714086">
      <w:pPr>
        <w:spacing w:line="276" w:lineRule="auto"/>
        <w:ind w:right="-8"/>
        <w:rPr>
          <w:rFonts w:ascii="Arial" w:hAnsi="Arial"/>
          <w:bCs/>
        </w:rPr>
      </w:pPr>
      <w:r w:rsidRPr="00B01843">
        <w:rPr>
          <w:rFonts w:ascii="Arial" w:hAnsi="Arial"/>
          <w:b/>
        </w:rPr>
        <w:t>4.3.</w:t>
      </w:r>
      <w:r w:rsidR="009F2E1E" w:rsidRPr="00B01843">
        <w:rPr>
          <w:rFonts w:ascii="Arial" w:hAnsi="Arial"/>
          <w:b/>
        </w:rPr>
        <w:t xml:space="preserve"> </w:t>
      </w:r>
      <w:r w:rsidRPr="00B01843">
        <w:rPr>
          <w:rFonts w:ascii="Arial" w:hAnsi="Arial"/>
          <w:b/>
        </w:rPr>
        <w:t xml:space="preserve">Ministerio de </w:t>
      </w:r>
      <w:r w:rsidR="00BC7B2E">
        <w:rPr>
          <w:rFonts w:ascii="Arial" w:hAnsi="Arial"/>
          <w:b/>
        </w:rPr>
        <w:t>D</w:t>
      </w:r>
      <w:r w:rsidRPr="00B01843">
        <w:rPr>
          <w:rFonts w:ascii="Arial" w:hAnsi="Arial"/>
          <w:b/>
        </w:rPr>
        <w:t xml:space="preserve">efensa - Policía Nacional </w:t>
      </w:r>
      <w:r w:rsidR="00AC2451" w:rsidRPr="00B01843">
        <w:rPr>
          <w:rFonts w:ascii="Arial" w:hAnsi="Arial"/>
          <w:bCs/>
        </w:rPr>
        <w:t>con memorial de 17 de marzo de 2020,</w:t>
      </w:r>
      <w:r w:rsidR="00FA7F2C" w:rsidRPr="00B01843">
        <w:rPr>
          <w:rFonts w:ascii="Arial" w:hAnsi="Arial"/>
          <w:bCs/>
        </w:rPr>
        <w:t xml:space="preserve"> el secretario general de la institución policiva sostuvo que la acción de tutela carece del requisito de inmediatez</w:t>
      </w:r>
      <w:r w:rsidR="00043D29" w:rsidRPr="00B01843">
        <w:rPr>
          <w:rFonts w:ascii="Arial" w:hAnsi="Arial"/>
          <w:bCs/>
        </w:rPr>
        <w:t xml:space="preserve">, </w:t>
      </w:r>
      <w:r w:rsidR="00FA7F2C" w:rsidRPr="00B01843">
        <w:rPr>
          <w:rFonts w:ascii="Arial" w:hAnsi="Arial"/>
          <w:bCs/>
        </w:rPr>
        <w:t xml:space="preserve">pues se ejerció trascurridos siete meses </w:t>
      </w:r>
      <w:r w:rsidR="00FA7F2C" w:rsidRPr="00B01843">
        <w:rPr>
          <w:rFonts w:ascii="Arial" w:hAnsi="Arial"/>
          <w:bCs/>
        </w:rPr>
        <w:lastRenderedPageBreak/>
        <w:t>después desde que se notificó la sentencia cuestionada. Además,</w:t>
      </w:r>
      <w:r w:rsidR="00043D29" w:rsidRPr="00B01843">
        <w:rPr>
          <w:rFonts w:ascii="Arial" w:hAnsi="Arial"/>
          <w:bCs/>
        </w:rPr>
        <w:t xml:space="preserve"> </w:t>
      </w:r>
      <w:r w:rsidR="00FA7F2C" w:rsidRPr="00B01843">
        <w:rPr>
          <w:rFonts w:ascii="Arial" w:hAnsi="Arial"/>
          <w:bCs/>
        </w:rPr>
        <w:t>solicitó su desvinculación</w:t>
      </w:r>
      <w:r w:rsidR="005A23A3" w:rsidRPr="00B01843">
        <w:rPr>
          <w:rFonts w:ascii="Arial" w:hAnsi="Arial"/>
          <w:bCs/>
        </w:rPr>
        <w:t xml:space="preserve"> del presente trámite, por cuanto</w:t>
      </w:r>
      <w:r w:rsidR="00CE6480" w:rsidRPr="00B01843">
        <w:rPr>
          <w:rFonts w:ascii="Arial" w:hAnsi="Arial"/>
          <w:bCs/>
        </w:rPr>
        <w:t xml:space="preserve"> no hizo parte </w:t>
      </w:r>
      <w:r w:rsidR="00043D29" w:rsidRPr="00B01843">
        <w:rPr>
          <w:rFonts w:ascii="Arial" w:hAnsi="Arial"/>
          <w:bCs/>
        </w:rPr>
        <w:t>del debate jurídico de segunda instancia surtido en el medio de control bajo estudio</w:t>
      </w:r>
      <w:r w:rsidR="00CE6480" w:rsidRPr="00B01843">
        <w:rPr>
          <w:rFonts w:ascii="Arial" w:hAnsi="Arial"/>
          <w:bCs/>
        </w:rPr>
        <w:t>,</w:t>
      </w:r>
      <w:r w:rsidR="00043D29" w:rsidRPr="00B01843">
        <w:rPr>
          <w:rFonts w:ascii="Arial" w:hAnsi="Arial"/>
          <w:bCs/>
        </w:rPr>
        <w:t xml:space="preserve"> comoquiera</w:t>
      </w:r>
      <w:r w:rsidR="00CE6480" w:rsidRPr="00B01843">
        <w:rPr>
          <w:rFonts w:ascii="Arial" w:hAnsi="Arial"/>
          <w:bCs/>
        </w:rPr>
        <w:t xml:space="preserve"> que en la sentencia de </w:t>
      </w:r>
      <w:r w:rsidR="00CE6480" w:rsidRPr="00B01843">
        <w:rPr>
          <w:rFonts w:ascii="Arial" w:hAnsi="Arial"/>
        </w:rPr>
        <w:t>7 de mayo de 2013</w:t>
      </w:r>
      <w:r w:rsidR="00CE6480" w:rsidRPr="00B01843">
        <w:rPr>
          <w:rFonts w:ascii="Arial" w:hAnsi="Arial"/>
          <w:bCs/>
        </w:rPr>
        <w:t xml:space="preserve"> </w:t>
      </w:r>
      <w:r w:rsidR="00043D29" w:rsidRPr="00B01843">
        <w:rPr>
          <w:rFonts w:ascii="Arial" w:hAnsi="Arial"/>
          <w:bCs/>
        </w:rPr>
        <w:t xml:space="preserve">se declaró que no tenía legitimación en la causa por pasiva. </w:t>
      </w:r>
    </w:p>
    <w:p w14:paraId="79387759" w14:textId="77777777" w:rsidR="009F2E1E" w:rsidRPr="00B01843" w:rsidRDefault="009F2E1E" w:rsidP="00714086">
      <w:pPr>
        <w:spacing w:line="276" w:lineRule="auto"/>
        <w:ind w:right="-8"/>
        <w:rPr>
          <w:rFonts w:ascii="Arial" w:hAnsi="Arial"/>
          <w:b/>
        </w:rPr>
      </w:pPr>
    </w:p>
    <w:p w14:paraId="06477B0F" w14:textId="77777777" w:rsidR="0050226D" w:rsidRPr="00B01843" w:rsidRDefault="001906B0" w:rsidP="00714086">
      <w:pPr>
        <w:spacing w:line="276" w:lineRule="auto"/>
        <w:ind w:right="-8"/>
        <w:rPr>
          <w:rFonts w:ascii="Arial" w:hAnsi="Arial"/>
          <w:bCs/>
        </w:rPr>
      </w:pPr>
      <w:r w:rsidRPr="00B01843">
        <w:rPr>
          <w:rFonts w:ascii="Arial" w:hAnsi="Arial"/>
          <w:b/>
        </w:rPr>
        <w:t>4.4</w:t>
      </w:r>
      <w:r w:rsidR="009F2E1E" w:rsidRPr="00B01843">
        <w:rPr>
          <w:rFonts w:ascii="Arial" w:hAnsi="Arial"/>
          <w:b/>
        </w:rPr>
        <w:t xml:space="preserve">. </w:t>
      </w:r>
      <w:r w:rsidRPr="00B01843">
        <w:rPr>
          <w:rFonts w:ascii="Arial" w:hAnsi="Arial"/>
          <w:b/>
        </w:rPr>
        <w:t>Tribunal Administrativo de Cundinamarca, Sección Tercera, Subsección C</w:t>
      </w:r>
      <w:r w:rsidR="00E87934" w:rsidRPr="00B01843">
        <w:rPr>
          <w:rFonts w:ascii="Arial" w:hAnsi="Arial"/>
          <w:bCs/>
        </w:rPr>
        <w:t>,</w:t>
      </w:r>
      <w:r w:rsidR="00E87934" w:rsidRPr="00B01843">
        <w:rPr>
          <w:rFonts w:ascii="Arial" w:hAnsi="Arial"/>
          <w:b/>
        </w:rPr>
        <w:t xml:space="preserve"> </w:t>
      </w:r>
      <w:r w:rsidR="00E87934" w:rsidRPr="00B01843">
        <w:rPr>
          <w:rFonts w:ascii="Arial" w:hAnsi="Arial"/>
          <w:bCs/>
        </w:rPr>
        <w:t>por</w:t>
      </w:r>
      <w:r w:rsidR="00E87934" w:rsidRPr="00B01843">
        <w:rPr>
          <w:rFonts w:ascii="Arial" w:hAnsi="Arial"/>
          <w:b/>
        </w:rPr>
        <w:t xml:space="preserve"> </w:t>
      </w:r>
      <w:r w:rsidRPr="00B01843">
        <w:rPr>
          <w:rFonts w:ascii="Arial" w:hAnsi="Arial"/>
          <w:bCs/>
        </w:rPr>
        <w:t xml:space="preserve">intermedio de su secretaría, </w:t>
      </w:r>
      <w:r w:rsidR="00E87934" w:rsidRPr="00B01843">
        <w:rPr>
          <w:rFonts w:ascii="Arial" w:hAnsi="Arial"/>
          <w:bCs/>
        </w:rPr>
        <w:t xml:space="preserve">informó </w:t>
      </w:r>
      <w:r w:rsidRPr="00B01843">
        <w:rPr>
          <w:rFonts w:ascii="Arial" w:hAnsi="Arial"/>
          <w:bCs/>
        </w:rPr>
        <w:t>que el 11 de mayo del presente año public</w:t>
      </w:r>
      <w:r w:rsidR="006C79C7" w:rsidRPr="00B01843">
        <w:rPr>
          <w:rFonts w:ascii="Arial" w:hAnsi="Arial"/>
          <w:bCs/>
        </w:rPr>
        <w:t xml:space="preserve">ó un </w:t>
      </w:r>
      <w:r w:rsidRPr="00B01843">
        <w:rPr>
          <w:rFonts w:ascii="Arial" w:hAnsi="Arial"/>
          <w:bCs/>
        </w:rPr>
        <w:t xml:space="preserve">aviso </w:t>
      </w:r>
      <w:r w:rsidR="00E87934" w:rsidRPr="00B01843">
        <w:rPr>
          <w:rFonts w:ascii="Arial" w:hAnsi="Arial"/>
          <w:bCs/>
        </w:rPr>
        <w:t xml:space="preserve">en la página web de esa corporación </w:t>
      </w:r>
      <w:r w:rsidRPr="00B01843">
        <w:rPr>
          <w:rFonts w:ascii="Arial" w:hAnsi="Arial"/>
          <w:bCs/>
        </w:rPr>
        <w:t xml:space="preserve">para efectos de comunicar </w:t>
      </w:r>
      <w:r w:rsidR="006C79C7" w:rsidRPr="00B01843">
        <w:rPr>
          <w:rFonts w:ascii="Arial" w:hAnsi="Arial"/>
          <w:bCs/>
        </w:rPr>
        <w:t xml:space="preserve">la existencia de la tutela de la referencia </w:t>
      </w:r>
      <w:r w:rsidRPr="00B01843">
        <w:rPr>
          <w:rFonts w:ascii="Arial" w:hAnsi="Arial"/>
          <w:bCs/>
        </w:rPr>
        <w:t>a los terceros con interés que integraron la parte demandante en el proceso de reparación directa.</w:t>
      </w:r>
      <w:r w:rsidR="00E87934" w:rsidRPr="00B01843">
        <w:rPr>
          <w:rFonts w:ascii="Arial" w:hAnsi="Arial"/>
          <w:bCs/>
        </w:rPr>
        <w:t xml:space="preserve"> Por otro lado, </w:t>
      </w:r>
      <w:r w:rsidR="00714086" w:rsidRPr="00B01843">
        <w:rPr>
          <w:rFonts w:ascii="Arial" w:hAnsi="Arial"/>
          <w:bCs/>
        </w:rPr>
        <w:t xml:space="preserve">remitió </w:t>
      </w:r>
      <w:r w:rsidR="00E87934" w:rsidRPr="00B01843">
        <w:rPr>
          <w:rFonts w:ascii="Arial" w:hAnsi="Arial"/>
          <w:bCs/>
        </w:rPr>
        <w:t xml:space="preserve">el expediente </w:t>
      </w:r>
      <w:r w:rsidR="00AE571A" w:rsidRPr="00B01843">
        <w:rPr>
          <w:rFonts w:ascii="Arial" w:hAnsi="Arial"/>
          <w:bCs/>
        </w:rPr>
        <w:t xml:space="preserve">del medio de control </w:t>
      </w:r>
      <w:r w:rsidR="00714086" w:rsidRPr="00B01843">
        <w:rPr>
          <w:rFonts w:ascii="Arial" w:hAnsi="Arial"/>
          <w:bCs/>
        </w:rPr>
        <w:t xml:space="preserve">dentro del cual se profirió la providencia controvertida </w:t>
      </w:r>
      <w:r w:rsidR="006C79C7" w:rsidRPr="00B01843">
        <w:rPr>
          <w:rFonts w:ascii="Arial" w:hAnsi="Arial"/>
          <w:bCs/>
        </w:rPr>
        <w:t xml:space="preserve">por la parte actora. </w:t>
      </w:r>
    </w:p>
    <w:p w14:paraId="7F48AD4F" w14:textId="77777777" w:rsidR="0050226D" w:rsidRPr="00B01843" w:rsidRDefault="0050226D" w:rsidP="00714086">
      <w:pPr>
        <w:spacing w:line="276" w:lineRule="auto"/>
        <w:ind w:right="-8"/>
        <w:rPr>
          <w:rFonts w:ascii="Arial" w:hAnsi="Arial"/>
          <w:bCs/>
        </w:rPr>
      </w:pPr>
    </w:p>
    <w:p w14:paraId="222DBF1D" w14:textId="5E03655F" w:rsidR="00A64413" w:rsidRPr="00B01843" w:rsidRDefault="00A3770E" w:rsidP="00714086">
      <w:pPr>
        <w:spacing w:line="276" w:lineRule="auto"/>
        <w:ind w:right="-8"/>
        <w:rPr>
          <w:rFonts w:ascii="Arial" w:hAnsi="Arial"/>
          <w:bCs/>
        </w:rPr>
      </w:pPr>
      <w:r w:rsidRPr="00B01843">
        <w:rPr>
          <w:rFonts w:ascii="Arial" w:hAnsi="Arial"/>
          <w:b/>
        </w:rPr>
        <w:t xml:space="preserve">4.5. </w:t>
      </w:r>
      <w:r w:rsidRPr="00B01843">
        <w:rPr>
          <w:rFonts w:ascii="Arial" w:eastAsia="Arial" w:hAnsi="Arial"/>
        </w:rPr>
        <w:t>Las personas que integraron la parte activa en el proceso de reparación directa, pese a que fueron debidamente notificadas, guardaron silencio.</w:t>
      </w:r>
    </w:p>
    <w:p w14:paraId="5009887C" w14:textId="77777777" w:rsidR="00714086" w:rsidRPr="00B01843" w:rsidRDefault="00714086" w:rsidP="00714086">
      <w:pPr>
        <w:spacing w:line="276" w:lineRule="auto"/>
        <w:ind w:right="-8"/>
        <w:rPr>
          <w:rFonts w:ascii="Arial" w:hAnsi="Arial"/>
          <w:b/>
        </w:rPr>
      </w:pPr>
    </w:p>
    <w:p w14:paraId="18C5EBCB" w14:textId="77777777" w:rsidR="00714086" w:rsidRPr="00B01843" w:rsidRDefault="00714086" w:rsidP="00714086">
      <w:pPr>
        <w:spacing w:line="276" w:lineRule="auto"/>
        <w:ind w:right="-8"/>
        <w:jc w:val="center"/>
        <w:rPr>
          <w:rFonts w:ascii="Arial" w:hAnsi="Arial"/>
        </w:rPr>
      </w:pPr>
      <w:r w:rsidRPr="00B01843">
        <w:rPr>
          <w:rFonts w:ascii="Arial" w:hAnsi="Arial"/>
          <w:b/>
        </w:rPr>
        <w:t>II. CONSIDERACIONES DE LA SALA</w:t>
      </w:r>
    </w:p>
    <w:p w14:paraId="7BF3900D" w14:textId="77777777" w:rsidR="00714086" w:rsidRPr="00B01843" w:rsidRDefault="00714086" w:rsidP="00714086">
      <w:pPr>
        <w:spacing w:line="276" w:lineRule="auto"/>
        <w:ind w:right="-8"/>
        <w:rPr>
          <w:rFonts w:ascii="Arial" w:hAnsi="Arial"/>
        </w:rPr>
      </w:pPr>
    </w:p>
    <w:p w14:paraId="49EA4399" w14:textId="77777777" w:rsidR="00714086" w:rsidRPr="00B01843" w:rsidRDefault="00714086" w:rsidP="00714086">
      <w:pPr>
        <w:overflowPunct w:val="0"/>
        <w:autoSpaceDE w:val="0"/>
        <w:autoSpaceDN w:val="0"/>
        <w:adjustRightInd w:val="0"/>
        <w:spacing w:line="276" w:lineRule="auto"/>
        <w:ind w:right="-8"/>
        <w:textAlignment w:val="baseline"/>
        <w:rPr>
          <w:rFonts w:ascii="Arial" w:eastAsia="Times New Roman" w:hAnsi="Arial"/>
          <w:b/>
          <w:lang w:val="es-ES_tradnl" w:eastAsia="es-ES"/>
        </w:rPr>
      </w:pPr>
      <w:r w:rsidRPr="00B01843">
        <w:rPr>
          <w:rFonts w:ascii="Arial" w:eastAsia="Times New Roman" w:hAnsi="Arial"/>
          <w:b/>
          <w:lang w:val="es-ES_tradnl" w:eastAsia="es-ES"/>
        </w:rPr>
        <w:t xml:space="preserve">2.1. Competencia </w:t>
      </w:r>
      <w:r w:rsidRPr="00B01843">
        <w:rPr>
          <w:rFonts w:ascii="Arial" w:eastAsia="Times New Roman" w:hAnsi="Arial"/>
          <w:b/>
          <w:lang w:val="es-ES_tradnl" w:eastAsia="es-ES"/>
        </w:rPr>
        <w:tab/>
      </w:r>
    </w:p>
    <w:p w14:paraId="3B302E9B" w14:textId="77777777" w:rsidR="00714086" w:rsidRPr="00B01843" w:rsidRDefault="00714086" w:rsidP="00714086">
      <w:pPr>
        <w:widowControl w:val="0"/>
        <w:spacing w:line="276" w:lineRule="auto"/>
        <w:ind w:right="-8"/>
        <w:contextualSpacing/>
        <w:rPr>
          <w:rFonts w:ascii="Arial" w:eastAsia="Times New Roman" w:hAnsi="Arial"/>
          <w:lang w:eastAsia="es-ES"/>
        </w:rPr>
      </w:pPr>
    </w:p>
    <w:p w14:paraId="4278CAF9" w14:textId="77777777" w:rsidR="00714086" w:rsidRPr="00B01843" w:rsidRDefault="00714086" w:rsidP="00714086">
      <w:pPr>
        <w:widowControl w:val="0"/>
        <w:spacing w:line="276" w:lineRule="auto"/>
        <w:rPr>
          <w:rFonts w:ascii="Arial" w:eastAsia="Times New Roman" w:hAnsi="Arial"/>
          <w:lang w:eastAsia="es-ES"/>
        </w:rPr>
      </w:pPr>
      <w:r w:rsidRPr="00B01843">
        <w:rPr>
          <w:rFonts w:ascii="Arial" w:eastAsia="Times New Roman" w:hAnsi="Arial"/>
          <w:lang w:eastAsia="es-ES"/>
        </w:rPr>
        <w:t xml:space="preserve">Esta Sala es competente para conocer de la presente acción de tutela, de conformidad con lo establecido por el Decreto 2591 de 1991, el numeral 2° del artículo 2.2.3.1.2.1 del Decreto 1069 de 2015, </w:t>
      </w:r>
      <w:r w:rsidRPr="00B01843">
        <w:rPr>
          <w:rFonts w:ascii="Arial" w:hAnsi="Arial"/>
        </w:rPr>
        <w:t>modificado por el Decreto 1983 del 30 de noviembre de 2017 y el Acuerdo 80 de 12 de marzo de 2019</w:t>
      </w:r>
      <w:r w:rsidRPr="00B01843">
        <w:rPr>
          <w:rStyle w:val="Refdenotaalpie"/>
          <w:rFonts w:ascii="Arial" w:hAnsi="Arial"/>
        </w:rPr>
        <w:footnoteReference w:id="9"/>
      </w:r>
      <w:r w:rsidRPr="00B01843">
        <w:rPr>
          <w:rFonts w:ascii="Arial" w:hAnsi="Arial"/>
        </w:rPr>
        <w:t>.</w:t>
      </w:r>
    </w:p>
    <w:p w14:paraId="2F0F840E" w14:textId="77777777" w:rsidR="00714086" w:rsidRPr="00B01843" w:rsidRDefault="00714086" w:rsidP="00714086">
      <w:pPr>
        <w:widowControl w:val="0"/>
        <w:spacing w:line="276" w:lineRule="auto"/>
        <w:rPr>
          <w:rFonts w:ascii="Arial" w:eastAsia="Times New Roman" w:hAnsi="Arial"/>
          <w:lang w:eastAsia="es-ES"/>
        </w:rPr>
      </w:pPr>
    </w:p>
    <w:p w14:paraId="0149DF83" w14:textId="77777777" w:rsidR="00714086" w:rsidRPr="00B01843" w:rsidRDefault="00714086" w:rsidP="00714086">
      <w:pPr>
        <w:widowControl w:val="0"/>
        <w:tabs>
          <w:tab w:val="left" w:pos="3405"/>
        </w:tabs>
        <w:overflowPunct w:val="0"/>
        <w:autoSpaceDE w:val="0"/>
        <w:autoSpaceDN w:val="0"/>
        <w:adjustRightInd w:val="0"/>
        <w:spacing w:line="276" w:lineRule="auto"/>
        <w:textAlignment w:val="baseline"/>
        <w:rPr>
          <w:rFonts w:ascii="Arial" w:hAnsi="Arial"/>
          <w:b/>
        </w:rPr>
      </w:pPr>
      <w:r w:rsidRPr="00B01843">
        <w:rPr>
          <w:rFonts w:ascii="Arial" w:eastAsia="Times New Roman" w:hAnsi="Arial"/>
          <w:b/>
          <w:lang w:eastAsia="es-ES"/>
        </w:rPr>
        <w:t>2.2.</w:t>
      </w:r>
      <w:r w:rsidRPr="00B01843">
        <w:rPr>
          <w:rFonts w:ascii="Arial" w:hAnsi="Arial"/>
          <w:b/>
        </w:rPr>
        <w:t xml:space="preserve"> Cuestión previa </w:t>
      </w:r>
    </w:p>
    <w:p w14:paraId="0A105094" w14:textId="77777777" w:rsidR="00714086" w:rsidRPr="00B01843" w:rsidRDefault="00714086" w:rsidP="00714086">
      <w:pPr>
        <w:widowControl w:val="0"/>
        <w:tabs>
          <w:tab w:val="left" w:pos="3405"/>
        </w:tabs>
        <w:overflowPunct w:val="0"/>
        <w:autoSpaceDE w:val="0"/>
        <w:autoSpaceDN w:val="0"/>
        <w:adjustRightInd w:val="0"/>
        <w:spacing w:line="276" w:lineRule="auto"/>
        <w:textAlignment w:val="baseline"/>
        <w:rPr>
          <w:rFonts w:ascii="Arial" w:hAnsi="Arial"/>
          <w:b/>
        </w:rPr>
      </w:pPr>
    </w:p>
    <w:p w14:paraId="2CC828D9" w14:textId="44814ACB" w:rsidR="00306CC6" w:rsidRPr="00B01843" w:rsidRDefault="00CE6480" w:rsidP="00306CC6">
      <w:pPr>
        <w:spacing w:line="276" w:lineRule="auto"/>
        <w:ind w:right="-8"/>
        <w:rPr>
          <w:rFonts w:ascii="Arial" w:hAnsi="Arial"/>
          <w:bCs/>
        </w:rPr>
      </w:pPr>
      <w:r w:rsidRPr="00B01843">
        <w:rPr>
          <w:rFonts w:ascii="Arial" w:hAnsi="Arial"/>
          <w:bCs/>
          <w:shd w:val="clear" w:color="auto" w:fill="FFFFFF"/>
          <w:lang w:eastAsia="es-ES"/>
        </w:rPr>
        <w:t xml:space="preserve">El Ministerio de </w:t>
      </w:r>
      <w:r w:rsidR="00BC7B2E">
        <w:rPr>
          <w:rFonts w:ascii="Arial" w:hAnsi="Arial"/>
          <w:bCs/>
          <w:shd w:val="clear" w:color="auto" w:fill="FFFFFF"/>
          <w:lang w:eastAsia="es-ES"/>
        </w:rPr>
        <w:t>D</w:t>
      </w:r>
      <w:r w:rsidRPr="00B01843">
        <w:rPr>
          <w:rFonts w:ascii="Arial" w:hAnsi="Arial"/>
          <w:bCs/>
          <w:shd w:val="clear" w:color="auto" w:fill="FFFFFF"/>
          <w:lang w:eastAsia="es-ES"/>
        </w:rPr>
        <w:t xml:space="preserve">efensa - Policía Nacional </w:t>
      </w:r>
      <w:r w:rsidR="00714086" w:rsidRPr="00B01843">
        <w:rPr>
          <w:rFonts w:ascii="Arial" w:hAnsi="Arial"/>
          <w:shd w:val="clear" w:color="auto" w:fill="FFFFFF"/>
          <w:lang w:eastAsia="es-ES"/>
        </w:rPr>
        <w:t>en su escrito de contestación de la tutela solicitó su desvinculación</w:t>
      </w:r>
      <w:r w:rsidR="00E606E3" w:rsidRPr="00B01843">
        <w:rPr>
          <w:rFonts w:ascii="Arial" w:hAnsi="Arial"/>
          <w:shd w:val="clear" w:color="auto" w:fill="FFFFFF"/>
          <w:lang w:eastAsia="es-ES"/>
        </w:rPr>
        <w:t xml:space="preserve">, toda vez que </w:t>
      </w:r>
      <w:r w:rsidR="00306CC6" w:rsidRPr="00B01843">
        <w:rPr>
          <w:rFonts w:ascii="Arial" w:hAnsi="Arial"/>
          <w:bCs/>
        </w:rPr>
        <w:t>en el medio de control</w:t>
      </w:r>
      <w:r w:rsidR="008E25A7" w:rsidRPr="00B01843">
        <w:rPr>
          <w:rFonts w:ascii="Arial" w:hAnsi="Arial"/>
          <w:bCs/>
        </w:rPr>
        <w:t xml:space="preserve"> de reparación directa</w:t>
      </w:r>
      <w:r w:rsidR="00306CC6" w:rsidRPr="00B01843">
        <w:rPr>
          <w:rFonts w:ascii="Arial" w:hAnsi="Arial"/>
          <w:bCs/>
        </w:rPr>
        <w:t xml:space="preserve"> </w:t>
      </w:r>
      <w:r w:rsidR="00306CC6" w:rsidRPr="00B01843">
        <w:rPr>
          <w:rFonts w:ascii="Arial" w:hAnsi="Arial"/>
          <w:shd w:val="clear" w:color="auto" w:fill="FFFFFF"/>
          <w:lang w:eastAsia="es-ES"/>
        </w:rPr>
        <w:t xml:space="preserve">se declaró </w:t>
      </w:r>
      <w:r w:rsidR="00306CC6" w:rsidRPr="00B01843">
        <w:rPr>
          <w:rFonts w:ascii="Arial" w:hAnsi="Arial"/>
          <w:bCs/>
        </w:rPr>
        <w:t xml:space="preserve">probada su falta de legitimación en la causa por pasiva, </w:t>
      </w:r>
      <w:r w:rsidR="00E606E3" w:rsidRPr="00B01843">
        <w:rPr>
          <w:rFonts w:ascii="Arial" w:hAnsi="Arial"/>
          <w:bCs/>
        </w:rPr>
        <w:t xml:space="preserve">de modo que no participó en el debate jurídico surtido en segunda instancia. </w:t>
      </w:r>
    </w:p>
    <w:p w14:paraId="7A76867C" w14:textId="77777777" w:rsidR="00306CC6" w:rsidRPr="00B01843" w:rsidRDefault="00306CC6" w:rsidP="00306CC6">
      <w:pPr>
        <w:spacing w:line="276" w:lineRule="auto"/>
        <w:ind w:right="-8"/>
        <w:rPr>
          <w:rFonts w:ascii="Arial" w:hAnsi="Arial"/>
          <w:bCs/>
        </w:rPr>
      </w:pPr>
    </w:p>
    <w:p w14:paraId="40814C7D" w14:textId="793C9C6B" w:rsidR="00306CC6" w:rsidRPr="00B01843" w:rsidRDefault="00306CC6" w:rsidP="00306CC6">
      <w:pPr>
        <w:spacing w:line="276" w:lineRule="auto"/>
        <w:ind w:right="-8"/>
        <w:rPr>
          <w:rFonts w:ascii="Arial" w:hAnsi="Arial"/>
          <w:bCs/>
          <w:i/>
          <w:iCs/>
          <w:shd w:val="clear" w:color="auto" w:fill="FFFFFF"/>
          <w:lang w:eastAsia="es-ES"/>
        </w:rPr>
      </w:pPr>
      <w:r w:rsidRPr="00B01843">
        <w:rPr>
          <w:rFonts w:ascii="Arial" w:hAnsi="Arial"/>
        </w:rPr>
        <w:t>Según se tiene, el Tribunal Administrativo de Cundinamarca, Sección</w:t>
      </w:r>
      <w:r w:rsidR="008E25A7" w:rsidRPr="00B01843">
        <w:rPr>
          <w:rFonts w:ascii="Arial" w:hAnsi="Arial"/>
        </w:rPr>
        <w:t xml:space="preserve"> </w:t>
      </w:r>
      <w:r w:rsidRPr="00B01843">
        <w:rPr>
          <w:rFonts w:ascii="Arial" w:hAnsi="Arial"/>
        </w:rPr>
        <w:t xml:space="preserve">Tercera, Subsección C de Descongestión, en providencia de 7 de mayo de 2013, </w:t>
      </w:r>
      <w:r w:rsidR="0010566C" w:rsidRPr="00B01843">
        <w:rPr>
          <w:rFonts w:ascii="Arial" w:hAnsi="Arial"/>
        </w:rPr>
        <w:t xml:space="preserve">refirió </w:t>
      </w:r>
      <w:r w:rsidRPr="00B01843">
        <w:rPr>
          <w:rFonts w:ascii="Arial" w:hAnsi="Arial"/>
        </w:rPr>
        <w:t xml:space="preserve">que el </w:t>
      </w:r>
      <w:r w:rsidRPr="00B01843">
        <w:rPr>
          <w:rFonts w:ascii="Arial" w:hAnsi="Arial"/>
          <w:bCs/>
          <w:shd w:val="clear" w:color="auto" w:fill="FFFFFF"/>
          <w:lang w:eastAsia="es-ES"/>
        </w:rPr>
        <w:t>Ministerio de defensa - Policía Nacional no estaba legitimado en la causa para ser extremo pasivo</w:t>
      </w:r>
      <w:r w:rsidR="008E25A7" w:rsidRPr="00B01843">
        <w:rPr>
          <w:rFonts w:ascii="Arial" w:hAnsi="Arial"/>
          <w:bCs/>
          <w:shd w:val="clear" w:color="auto" w:fill="FFFFFF"/>
          <w:lang w:eastAsia="es-ES"/>
        </w:rPr>
        <w:t xml:space="preserve"> </w:t>
      </w:r>
      <w:r w:rsidRPr="00B01843">
        <w:rPr>
          <w:rFonts w:ascii="Arial" w:hAnsi="Arial"/>
          <w:bCs/>
          <w:shd w:val="clear" w:color="auto" w:fill="FFFFFF"/>
          <w:lang w:eastAsia="es-ES"/>
        </w:rPr>
        <w:t xml:space="preserve">por no ser una autoridad de carácter judicial, decisión que mantuvo incólume el </w:t>
      </w:r>
      <w:r w:rsidRPr="00B01843">
        <w:rPr>
          <w:rFonts w:ascii="Arial" w:hAnsi="Arial"/>
          <w:bCs/>
          <w:i/>
          <w:iCs/>
          <w:shd w:val="clear" w:color="auto" w:fill="FFFFFF"/>
          <w:lang w:eastAsia="es-ES"/>
        </w:rPr>
        <w:t>ad quem</w:t>
      </w:r>
      <w:r w:rsidR="008E25A7" w:rsidRPr="00B01843">
        <w:rPr>
          <w:rFonts w:ascii="Arial" w:hAnsi="Arial"/>
          <w:bCs/>
          <w:shd w:val="clear" w:color="auto" w:fill="FFFFFF"/>
          <w:lang w:eastAsia="es-ES"/>
        </w:rPr>
        <w:t xml:space="preserve">, motivo por el cual </w:t>
      </w:r>
      <w:r w:rsidRPr="00B01843">
        <w:rPr>
          <w:rFonts w:ascii="Arial" w:hAnsi="Arial"/>
        </w:rPr>
        <w:t xml:space="preserve">se accederá a su solicitud y se desvinculará del presente trámite de tutela. </w:t>
      </w:r>
    </w:p>
    <w:p w14:paraId="161F68DC" w14:textId="77777777" w:rsidR="0014308E" w:rsidRPr="00B01843" w:rsidRDefault="0014308E" w:rsidP="00E606E3">
      <w:pPr>
        <w:spacing w:line="276" w:lineRule="auto"/>
        <w:ind w:right="-8"/>
        <w:rPr>
          <w:rFonts w:ascii="Arial" w:hAnsi="Arial"/>
          <w:shd w:val="clear" w:color="auto" w:fill="FFFFFF"/>
          <w:lang w:eastAsia="es-ES"/>
        </w:rPr>
      </w:pPr>
    </w:p>
    <w:p w14:paraId="4E067D4A" w14:textId="77777777" w:rsidR="00714086" w:rsidRPr="00B01843" w:rsidRDefault="00714086" w:rsidP="00714086">
      <w:pPr>
        <w:spacing w:line="276" w:lineRule="auto"/>
        <w:rPr>
          <w:rFonts w:ascii="Arial" w:hAnsi="Arial"/>
        </w:rPr>
      </w:pPr>
      <w:r w:rsidRPr="00B01843">
        <w:rPr>
          <w:rFonts w:ascii="Arial" w:hAnsi="Arial"/>
          <w:b/>
        </w:rPr>
        <w:t xml:space="preserve">2.3. </w:t>
      </w:r>
      <w:r w:rsidRPr="00B01843">
        <w:rPr>
          <w:rFonts w:ascii="Arial" w:eastAsia="Times New Roman" w:hAnsi="Arial"/>
          <w:b/>
          <w:lang w:eastAsia="es-ES"/>
        </w:rPr>
        <w:t xml:space="preserve">Problema jurídico </w:t>
      </w:r>
    </w:p>
    <w:p w14:paraId="6A0150A7" w14:textId="77777777" w:rsidR="00714086" w:rsidRPr="00B01843" w:rsidRDefault="00714086" w:rsidP="00714086">
      <w:pPr>
        <w:overflowPunct w:val="0"/>
        <w:autoSpaceDE w:val="0"/>
        <w:autoSpaceDN w:val="0"/>
        <w:adjustRightInd w:val="0"/>
        <w:spacing w:line="276" w:lineRule="auto"/>
        <w:ind w:right="-8"/>
        <w:textAlignment w:val="baseline"/>
        <w:rPr>
          <w:rFonts w:ascii="Arial" w:eastAsia="Times New Roman" w:hAnsi="Arial"/>
          <w:b/>
          <w:lang w:val="es-ES_tradnl" w:eastAsia="es-ES"/>
        </w:rPr>
      </w:pPr>
    </w:p>
    <w:p w14:paraId="4F800F87" w14:textId="77777777" w:rsidR="00714086" w:rsidRPr="00B01843" w:rsidRDefault="00714086" w:rsidP="00714086">
      <w:pPr>
        <w:spacing w:line="276" w:lineRule="auto"/>
        <w:ind w:right="-8"/>
        <w:rPr>
          <w:rFonts w:ascii="Arial" w:hAnsi="Arial"/>
        </w:rPr>
      </w:pPr>
      <w:r w:rsidRPr="00B01843">
        <w:rPr>
          <w:rFonts w:ascii="Arial" w:hAnsi="Arial"/>
        </w:rPr>
        <w:t xml:space="preserve">De conformidad con los antecedentes, corresponde a la Sala analizar si la solicitud de amparo cumple con los requisitos de procedibilidad adjetiva y, de superarse lo </w:t>
      </w:r>
      <w:r w:rsidRPr="00B01843">
        <w:rPr>
          <w:rFonts w:ascii="Arial" w:hAnsi="Arial"/>
        </w:rPr>
        <w:lastRenderedPageBreak/>
        <w:t>anterior, deberá examinar si</w:t>
      </w:r>
      <w:r w:rsidR="00082801" w:rsidRPr="00B01843">
        <w:rPr>
          <w:rFonts w:ascii="Arial" w:hAnsi="Arial"/>
        </w:rPr>
        <w:t xml:space="preserve"> el Consejo de Estado, Sección Tercera, Subsección C, </w:t>
      </w:r>
      <w:r w:rsidRPr="00B01843">
        <w:rPr>
          <w:rFonts w:ascii="Arial" w:hAnsi="Arial"/>
        </w:rPr>
        <w:t xml:space="preserve">vulneró los derechos fundamentales </w:t>
      </w:r>
      <w:r w:rsidR="003A7186" w:rsidRPr="00B01843">
        <w:rPr>
          <w:rFonts w:ascii="Arial" w:hAnsi="Arial"/>
        </w:rPr>
        <w:t xml:space="preserve">al debido proceso y a la igualdad de la </w:t>
      </w:r>
      <w:r w:rsidRPr="00B01843">
        <w:rPr>
          <w:rFonts w:ascii="Arial" w:hAnsi="Arial"/>
        </w:rPr>
        <w:t xml:space="preserve">parte actora, al incurrir en </w:t>
      </w:r>
      <w:r w:rsidR="003A7186" w:rsidRPr="00B01843">
        <w:rPr>
          <w:rFonts w:ascii="Arial" w:hAnsi="Arial"/>
        </w:rPr>
        <w:t xml:space="preserve">los yerros </w:t>
      </w:r>
      <w:r w:rsidRPr="00B01843">
        <w:rPr>
          <w:rFonts w:ascii="Arial" w:hAnsi="Arial"/>
        </w:rPr>
        <w:t>planteado</w:t>
      </w:r>
      <w:r w:rsidR="003A7186" w:rsidRPr="00B01843">
        <w:rPr>
          <w:rFonts w:ascii="Arial" w:hAnsi="Arial"/>
        </w:rPr>
        <w:t>s</w:t>
      </w:r>
      <w:r w:rsidRPr="00B01843">
        <w:rPr>
          <w:rFonts w:ascii="Arial" w:hAnsi="Arial"/>
        </w:rPr>
        <w:t xml:space="preserve"> en el escrito de la tutela. </w:t>
      </w:r>
    </w:p>
    <w:p w14:paraId="7EE0875B" w14:textId="77777777" w:rsidR="00714086" w:rsidRPr="00B01843" w:rsidRDefault="00714086" w:rsidP="00714086">
      <w:pPr>
        <w:spacing w:line="276" w:lineRule="auto"/>
        <w:ind w:right="-8"/>
        <w:rPr>
          <w:rFonts w:ascii="Arial" w:hAnsi="Arial"/>
        </w:rPr>
      </w:pPr>
    </w:p>
    <w:p w14:paraId="06B59BAF" w14:textId="77777777" w:rsidR="00714086" w:rsidRPr="00B01843" w:rsidRDefault="00714086" w:rsidP="00714086">
      <w:pPr>
        <w:widowControl w:val="0"/>
        <w:spacing w:line="276" w:lineRule="auto"/>
        <w:rPr>
          <w:rFonts w:ascii="Arial" w:hAnsi="Arial"/>
        </w:rPr>
      </w:pPr>
      <w:r w:rsidRPr="00B01843">
        <w:rPr>
          <w:rFonts w:ascii="Arial" w:hAnsi="Arial"/>
        </w:rPr>
        <w:t xml:space="preserve">Para resolver este problema, se analizarán los siguientes aspectos: </w:t>
      </w:r>
      <w:r w:rsidRPr="00B01843">
        <w:rPr>
          <w:rFonts w:ascii="Arial" w:hAnsi="Arial"/>
          <w:b/>
        </w:rPr>
        <w:t>i)</w:t>
      </w:r>
      <w:r w:rsidRPr="00B01843">
        <w:rPr>
          <w:rFonts w:ascii="Arial" w:hAnsi="Arial"/>
        </w:rPr>
        <w:t xml:space="preserve"> el criterio de la Sección sobre la procedencia de la acción de tutela contra decisiones judiciales; </w:t>
      </w:r>
      <w:r w:rsidRPr="00B01843">
        <w:rPr>
          <w:rFonts w:ascii="Arial" w:hAnsi="Arial"/>
          <w:b/>
        </w:rPr>
        <w:t>ii)</w:t>
      </w:r>
      <w:r w:rsidRPr="00B01843">
        <w:rPr>
          <w:rFonts w:ascii="Arial" w:hAnsi="Arial"/>
        </w:rPr>
        <w:t xml:space="preserve"> estudio sobre los requisitos adjetivos de procedibilidad; y finalmente, de encontrarse superados se estudiará, </w:t>
      </w:r>
      <w:r w:rsidRPr="00B01843">
        <w:rPr>
          <w:rFonts w:ascii="Arial" w:hAnsi="Arial"/>
          <w:b/>
          <w:bCs/>
        </w:rPr>
        <w:t>iii)</w:t>
      </w:r>
      <w:r w:rsidRPr="00B01843">
        <w:rPr>
          <w:rFonts w:ascii="Arial" w:hAnsi="Arial"/>
        </w:rPr>
        <w:t xml:space="preserve"> el fondo del reclamo.</w:t>
      </w:r>
    </w:p>
    <w:p w14:paraId="0022322A" w14:textId="77777777" w:rsidR="00714086" w:rsidRPr="00B01843" w:rsidRDefault="00714086" w:rsidP="00714086">
      <w:pPr>
        <w:widowControl w:val="0"/>
        <w:spacing w:line="276" w:lineRule="auto"/>
        <w:rPr>
          <w:rFonts w:ascii="Arial" w:hAnsi="Arial"/>
        </w:rPr>
      </w:pPr>
    </w:p>
    <w:p w14:paraId="3AEB2177" w14:textId="77777777" w:rsidR="00714086" w:rsidRPr="00B01843" w:rsidRDefault="00714086" w:rsidP="00714086">
      <w:pPr>
        <w:widowControl w:val="0"/>
        <w:tabs>
          <w:tab w:val="left" w:pos="3405"/>
        </w:tabs>
        <w:overflowPunct w:val="0"/>
        <w:autoSpaceDE w:val="0"/>
        <w:autoSpaceDN w:val="0"/>
        <w:adjustRightInd w:val="0"/>
        <w:spacing w:line="276" w:lineRule="auto"/>
        <w:textAlignment w:val="baseline"/>
        <w:rPr>
          <w:rFonts w:ascii="Arial" w:hAnsi="Arial"/>
          <w:b/>
        </w:rPr>
      </w:pPr>
      <w:r w:rsidRPr="00B01843">
        <w:rPr>
          <w:rFonts w:ascii="Arial" w:hAnsi="Arial"/>
          <w:b/>
        </w:rPr>
        <w:t>2.4. Procedencia de la acción de tutela contra providencia judicial</w:t>
      </w:r>
    </w:p>
    <w:p w14:paraId="696FB283" w14:textId="77777777" w:rsidR="00714086" w:rsidRPr="00B01843" w:rsidRDefault="00714086" w:rsidP="00714086">
      <w:pPr>
        <w:widowControl w:val="0"/>
        <w:tabs>
          <w:tab w:val="left" w:pos="3405"/>
        </w:tabs>
        <w:overflowPunct w:val="0"/>
        <w:autoSpaceDE w:val="0"/>
        <w:autoSpaceDN w:val="0"/>
        <w:adjustRightInd w:val="0"/>
        <w:spacing w:line="276" w:lineRule="auto"/>
        <w:textAlignment w:val="baseline"/>
        <w:rPr>
          <w:rFonts w:ascii="Arial" w:hAnsi="Arial"/>
          <w:b/>
        </w:rPr>
      </w:pPr>
    </w:p>
    <w:p w14:paraId="7D204379" w14:textId="77777777" w:rsidR="00714086" w:rsidRPr="00B01843" w:rsidRDefault="00714086" w:rsidP="00714086">
      <w:pPr>
        <w:widowControl w:val="0"/>
        <w:spacing w:line="276" w:lineRule="auto"/>
        <w:rPr>
          <w:rFonts w:ascii="Arial" w:hAnsi="Arial"/>
        </w:rPr>
      </w:pPr>
      <w:r w:rsidRPr="00B01843">
        <w:rPr>
          <w:rFonts w:ascii="Arial" w:hAnsi="Arial"/>
        </w:rPr>
        <w:t>La Sala Plena de lo Contencioso Administrativo, en sentencia de 31 de julio de 2012</w:t>
      </w:r>
      <w:r w:rsidRPr="00B01843">
        <w:rPr>
          <w:rFonts w:ascii="Arial" w:hAnsi="Arial"/>
          <w:vertAlign w:val="superscript"/>
        </w:rPr>
        <w:footnoteReference w:id="10"/>
      </w:r>
      <w:r w:rsidRPr="00B01843">
        <w:rPr>
          <w:rFonts w:ascii="Arial" w:hAnsi="Arial"/>
        </w:rPr>
        <w:t xml:space="preserve">, </w:t>
      </w:r>
      <w:r w:rsidRPr="00B01843">
        <w:rPr>
          <w:rFonts w:ascii="Arial" w:hAnsi="Arial"/>
          <w:b/>
        </w:rPr>
        <w:t xml:space="preserve">unificó </w:t>
      </w:r>
      <w:r w:rsidRPr="00B01843">
        <w:rPr>
          <w:rFonts w:ascii="Arial" w:hAnsi="Arial"/>
        </w:rPr>
        <w:t>la diversidad de criterios que la Corporación tenía sobre la procedencia de la acción de tutela contra providencias judiciales</w:t>
      </w:r>
      <w:r w:rsidRPr="00B01843">
        <w:rPr>
          <w:rFonts w:ascii="Arial" w:hAnsi="Arial"/>
          <w:vertAlign w:val="superscript"/>
        </w:rPr>
        <w:footnoteReference w:id="11"/>
      </w:r>
      <w:r w:rsidRPr="00B01843">
        <w:rPr>
          <w:rFonts w:ascii="Arial" w:hAnsi="Arial"/>
        </w:rPr>
        <w:t xml:space="preserve">, y en ella concluyó: </w:t>
      </w:r>
    </w:p>
    <w:p w14:paraId="59C96AC6" w14:textId="77777777" w:rsidR="00714086" w:rsidRPr="00B01843" w:rsidRDefault="00714086" w:rsidP="00714086">
      <w:pPr>
        <w:widowControl w:val="0"/>
        <w:spacing w:line="276" w:lineRule="auto"/>
        <w:rPr>
          <w:rFonts w:ascii="Arial" w:hAnsi="Arial"/>
        </w:rPr>
      </w:pPr>
    </w:p>
    <w:p w14:paraId="1F120479" w14:textId="77777777" w:rsidR="00714086" w:rsidRPr="00B01843" w:rsidRDefault="00714086" w:rsidP="004548A5">
      <w:pPr>
        <w:ind w:left="284" w:right="276"/>
        <w:rPr>
          <w:rFonts w:ascii="Arial" w:hAnsi="Arial"/>
          <w:i/>
          <w:sz w:val="22"/>
          <w:szCs w:val="22"/>
          <w:lang w:val="es-ES_tradnl"/>
        </w:rPr>
      </w:pPr>
      <w:r w:rsidRPr="00B01843">
        <w:rPr>
          <w:rFonts w:ascii="Arial" w:hAnsi="Arial"/>
          <w:i/>
          <w:sz w:val="22"/>
          <w:szCs w:val="22"/>
          <w:lang w:val="es-ES_tradnl"/>
        </w:rPr>
        <w:t xml:space="preserve">“…si bien es cierto que el criterio mayoritario de la Sala Plena de lo Contencioso Administrativo ha sido el de considerar improcedente la acción de tutela contra providencias judiciales, no lo es menos que las distintas Secciones que la componen, antes y después del pronunciamiento de 29 de junio de 2004 (Expediente AC-10203), han abierto paso a dicha acción constitucional, de manera excepcional, cuando se ha advertido la vulneración de derechos constitucionales fundamentales, </w:t>
      </w:r>
      <w:r w:rsidRPr="00B01843">
        <w:rPr>
          <w:rFonts w:ascii="Arial" w:hAnsi="Arial"/>
          <w:b/>
          <w:bCs/>
          <w:i/>
          <w:sz w:val="22"/>
          <w:szCs w:val="22"/>
          <w:lang w:val="es-ES_tradnl"/>
        </w:rPr>
        <w:t>de ahí que se modifique tal criterio radical y se admita, como se hace en esta providencia, que debe acometerse el estudio de fondo, cuando se esté en presencia de providencias judiciales que resulten violatorias de tales derechos, observando al efecto los parámetros fijados hasta el momento Jurisprudencialmente</w:t>
      </w:r>
      <w:r w:rsidRPr="00B01843">
        <w:rPr>
          <w:rFonts w:ascii="Arial" w:hAnsi="Arial"/>
          <w:i/>
          <w:sz w:val="22"/>
          <w:szCs w:val="22"/>
          <w:lang w:val="es-ES_tradnl"/>
        </w:rPr>
        <w:t>.”</w:t>
      </w:r>
      <w:r w:rsidRPr="00B01843">
        <w:rPr>
          <w:rFonts w:ascii="Arial" w:hAnsi="Arial"/>
          <w:i/>
          <w:sz w:val="22"/>
          <w:szCs w:val="22"/>
          <w:vertAlign w:val="superscript"/>
          <w:lang w:val="es-ES_tradnl"/>
        </w:rPr>
        <w:footnoteReference w:id="12"/>
      </w:r>
      <w:r w:rsidRPr="00B01843">
        <w:rPr>
          <w:rFonts w:ascii="Arial" w:hAnsi="Arial"/>
          <w:i/>
          <w:sz w:val="22"/>
          <w:szCs w:val="22"/>
          <w:lang w:val="es-ES_tradnl"/>
        </w:rPr>
        <w:t xml:space="preserve"> </w:t>
      </w:r>
      <w:r w:rsidRPr="004548A5">
        <w:rPr>
          <w:rFonts w:ascii="Arial" w:hAnsi="Arial"/>
          <w:iCs/>
          <w:lang w:val="es-ES_tradnl"/>
        </w:rPr>
        <w:t>(Negrilla fuera de texto)</w:t>
      </w:r>
    </w:p>
    <w:p w14:paraId="114267EF" w14:textId="77777777" w:rsidR="00714086" w:rsidRPr="00B01843" w:rsidRDefault="00714086" w:rsidP="000E63F7">
      <w:pPr>
        <w:ind w:left="284" w:right="276"/>
        <w:rPr>
          <w:rFonts w:ascii="Arial" w:hAnsi="Arial"/>
          <w:i/>
          <w:sz w:val="22"/>
          <w:szCs w:val="22"/>
          <w:lang w:val="es-ES_tradnl"/>
        </w:rPr>
      </w:pPr>
    </w:p>
    <w:p w14:paraId="3B99E45C" w14:textId="77777777" w:rsidR="00714086" w:rsidRPr="00B01843" w:rsidRDefault="00714086" w:rsidP="00714086">
      <w:pPr>
        <w:widowControl w:val="0"/>
        <w:spacing w:line="276" w:lineRule="auto"/>
        <w:rPr>
          <w:rFonts w:ascii="Arial" w:hAnsi="Arial"/>
        </w:rPr>
      </w:pPr>
      <w:r w:rsidRPr="00B01843">
        <w:rPr>
          <w:rFonts w:ascii="Arial" w:hAnsi="Arial"/>
        </w:rPr>
        <w:t>Conforme al anterior precedente, es claro que la Corporación ha</w:t>
      </w:r>
      <w:r w:rsidRPr="00B01843">
        <w:rPr>
          <w:rFonts w:ascii="Arial" w:hAnsi="Arial"/>
          <w:b/>
        </w:rPr>
        <w:t xml:space="preserve"> </w:t>
      </w:r>
      <w:r w:rsidRPr="00B01843">
        <w:rPr>
          <w:rFonts w:ascii="Arial" w:hAnsi="Arial"/>
        </w:rPr>
        <w:t>modificado su criterio sobre la procedencia de la acción de tutela</w:t>
      </w:r>
      <w:r w:rsidRPr="00B01843">
        <w:rPr>
          <w:rFonts w:ascii="Arial" w:hAnsi="Arial"/>
          <w:b/>
        </w:rPr>
        <w:t xml:space="preserve"> </w:t>
      </w:r>
      <w:r w:rsidRPr="00B01843">
        <w:rPr>
          <w:rFonts w:ascii="Arial" w:hAnsi="Arial"/>
        </w:rPr>
        <w:t>y, en consecuencia, conforme a él, es necesario</w:t>
      </w:r>
      <w:r w:rsidRPr="00B01843">
        <w:rPr>
          <w:rFonts w:ascii="Arial" w:hAnsi="Arial"/>
          <w:b/>
        </w:rPr>
        <w:t xml:space="preserve"> estudiar las acciones de tutela que se presenten contra providencia judicial y analizar si ellas vulneran algún derecho fundamental</w:t>
      </w:r>
      <w:r w:rsidRPr="00B01843">
        <w:rPr>
          <w:rFonts w:ascii="Arial" w:hAnsi="Arial"/>
        </w:rPr>
        <w:t xml:space="preserve">, </w:t>
      </w:r>
      <w:r w:rsidRPr="00B01843">
        <w:rPr>
          <w:rFonts w:ascii="Arial" w:hAnsi="Arial"/>
          <w:b/>
        </w:rPr>
        <w:t>observando al efecto los parámetros fijados hasta el momento por la jurisprudencia,</w:t>
      </w:r>
      <w:r w:rsidRPr="00B01843">
        <w:rPr>
          <w:rFonts w:ascii="Arial" w:hAnsi="Arial"/>
        </w:rPr>
        <w:t xml:space="preserve"> como expresamente lo indica la decisión de unificación.</w:t>
      </w:r>
    </w:p>
    <w:p w14:paraId="19DA8187" w14:textId="77777777" w:rsidR="00714086" w:rsidRPr="00B01843" w:rsidRDefault="00714086" w:rsidP="00714086">
      <w:pPr>
        <w:widowControl w:val="0"/>
        <w:spacing w:line="276" w:lineRule="auto"/>
        <w:rPr>
          <w:rFonts w:ascii="Arial" w:hAnsi="Arial"/>
        </w:rPr>
      </w:pPr>
    </w:p>
    <w:p w14:paraId="6EA7E54B" w14:textId="77777777" w:rsidR="00714086" w:rsidRPr="00B01843" w:rsidRDefault="00714086" w:rsidP="00714086">
      <w:pPr>
        <w:widowControl w:val="0"/>
        <w:spacing w:line="276" w:lineRule="auto"/>
        <w:rPr>
          <w:rFonts w:ascii="Arial" w:hAnsi="Arial"/>
        </w:rPr>
      </w:pPr>
      <w:r w:rsidRPr="00B01843">
        <w:rPr>
          <w:rFonts w:ascii="Arial" w:hAnsi="Arial"/>
        </w:rPr>
        <w:t xml:space="preserve">Así, para la Sala ahora es importante precisar bajo qué parámetros se hará ese estudio, pues la sentencia de unificación se refirió a los </w:t>
      </w:r>
      <w:r w:rsidRPr="00B01843">
        <w:rPr>
          <w:rFonts w:ascii="Arial" w:hAnsi="Arial"/>
          <w:i/>
        </w:rPr>
        <w:t>“…</w:t>
      </w:r>
      <w:r w:rsidRPr="00B01843">
        <w:rPr>
          <w:rFonts w:ascii="Arial" w:hAnsi="Arial"/>
          <w:b/>
          <w:i/>
        </w:rPr>
        <w:t>fijados hasta el momento jurisprudencialmente</w:t>
      </w:r>
      <w:r w:rsidRPr="00B01843">
        <w:rPr>
          <w:rFonts w:ascii="Arial" w:hAnsi="Arial"/>
          <w:i/>
        </w:rPr>
        <w:t xml:space="preserve">…”. </w:t>
      </w:r>
      <w:r w:rsidRPr="00B01843">
        <w:rPr>
          <w:rFonts w:ascii="Arial" w:hAnsi="Arial"/>
        </w:rPr>
        <w:t xml:space="preserve">En efecto, sabido es que la tutela es un mecanismo residual y excepcional para la protección de derechos fundamentales como lo señala el artículo 86 constitucional y, por ende, la procedencia de esta acción constitucional contra providencia judicial no puede ser ajena a esas características. </w:t>
      </w:r>
    </w:p>
    <w:p w14:paraId="3A145280" w14:textId="77777777" w:rsidR="00714086" w:rsidRPr="00B01843" w:rsidRDefault="00714086" w:rsidP="00714086">
      <w:pPr>
        <w:widowControl w:val="0"/>
        <w:spacing w:line="276" w:lineRule="auto"/>
        <w:rPr>
          <w:rFonts w:ascii="Arial" w:hAnsi="Arial"/>
        </w:rPr>
      </w:pPr>
    </w:p>
    <w:p w14:paraId="38ADD3D7" w14:textId="77777777" w:rsidR="00714086" w:rsidRPr="00B01843" w:rsidRDefault="00714086" w:rsidP="00714086">
      <w:pPr>
        <w:widowControl w:val="0"/>
        <w:spacing w:line="276" w:lineRule="auto"/>
        <w:rPr>
          <w:rFonts w:ascii="Arial" w:hAnsi="Arial"/>
        </w:rPr>
      </w:pPr>
      <w:r w:rsidRPr="00B01843">
        <w:rPr>
          <w:rFonts w:ascii="Arial" w:hAnsi="Arial"/>
        </w:rPr>
        <w:t xml:space="preserve">La Corte Constitucional se ha referido en forma amplia a unos requisitos generales </w:t>
      </w:r>
      <w:r w:rsidRPr="00B01843">
        <w:rPr>
          <w:rFonts w:ascii="Arial" w:hAnsi="Arial"/>
        </w:rPr>
        <w:lastRenderedPageBreak/>
        <w:t>y otros específicos de procedencia de la acción de tutela, sin distinguir cuáles dan origen a que se conceda o niegue el derecho al amparo</w:t>
      </w:r>
      <w:r w:rsidR="000E63F7" w:rsidRPr="00B01843">
        <w:rPr>
          <w:rFonts w:ascii="Arial" w:hAnsi="Arial"/>
        </w:rPr>
        <w:t xml:space="preserve"> </w:t>
      </w:r>
      <w:r w:rsidRPr="00B01843">
        <w:rPr>
          <w:rFonts w:ascii="Arial" w:hAnsi="Arial"/>
        </w:rPr>
        <w:t>–procedencia sustantiva– y cuáles impiden efectivamente adentrarnos en el fondo del asunto –procedencia adjetiva–.</w:t>
      </w:r>
      <w:r w:rsidRPr="00B01843">
        <w:rPr>
          <w:rFonts w:ascii="Arial" w:hAnsi="Arial"/>
          <w:vertAlign w:val="superscript"/>
        </w:rPr>
        <w:footnoteReference w:id="13"/>
      </w:r>
    </w:p>
    <w:p w14:paraId="7FA4A2B0" w14:textId="77777777" w:rsidR="00714086" w:rsidRPr="00B01843" w:rsidRDefault="00714086" w:rsidP="00714086">
      <w:pPr>
        <w:widowControl w:val="0"/>
        <w:spacing w:line="276" w:lineRule="auto"/>
        <w:rPr>
          <w:rFonts w:ascii="Arial" w:hAnsi="Arial"/>
        </w:rPr>
      </w:pPr>
    </w:p>
    <w:p w14:paraId="6A0233FE" w14:textId="2945CE04" w:rsidR="00714086" w:rsidRPr="00B01843" w:rsidRDefault="00714086" w:rsidP="00714086">
      <w:pPr>
        <w:spacing w:line="276" w:lineRule="auto"/>
        <w:rPr>
          <w:rFonts w:ascii="Arial" w:eastAsia="SimSun" w:hAnsi="Arial"/>
          <w:lang w:eastAsia="zh-CN"/>
        </w:rPr>
      </w:pPr>
      <w:r w:rsidRPr="00B01843">
        <w:rPr>
          <w:rFonts w:ascii="Arial" w:hAnsi="Arial"/>
        </w:rPr>
        <w:t xml:space="preserve">En ese orden, primero se verificará que la solicitud de tutela cumpla unos presupuestos generales de procedibilidad. Estos requisitos son: </w:t>
      </w:r>
      <w:r w:rsidRPr="00B01843">
        <w:rPr>
          <w:rFonts w:ascii="Arial" w:hAnsi="Arial"/>
          <w:i/>
        </w:rPr>
        <w:t>i)</w:t>
      </w:r>
      <w:r w:rsidRPr="00B01843">
        <w:rPr>
          <w:rFonts w:ascii="Arial" w:hAnsi="Arial"/>
        </w:rPr>
        <w:t xml:space="preserve"> </w:t>
      </w:r>
      <w:r w:rsidRPr="00B01843">
        <w:rPr>
          <w:rFonts w:ascii="Arial" w:eastAsia="SimSun" w:hAnsi="Arial"/>
          <w:lang w:eastAsia="zh-CN"/>
        </w:rPr>
        <w:t xml:space="preserve">que sea relevante constitucionalmente, </w:t>
      </w:r>
      <w:r w:rsidRPr="00B01843">
        <w:rPr>
          <w:rFonts w:ascii="Arial" w:eastAsia="SimSun" w:hAnsi="Arial"/>
          <w:i/>
          <w:lang w:eastAsia="zh-CN"/>
        </w:rPr>
        <w:t>ii)</w:t>
      </w:r>
      <w:r w:rsidRPr="00B01843">
        <w:rPr>
          <w:rFonts w:ascii="Arial" w:eastAsia="SimSun" w:hAnsi="Arial"/>
          <w:lang w:eastAsia="zh-CN"/>
        </w:rPr>
        <w:t xml:space="preserve"> que no se trate de tutela contra tutela;</w:t>
      </w:r>
      <w:r w:rsidR="00AF34AF" w:rsidRPr="00B01843">
        <w:rPr>
          <w:rFonts w:ascii="Arial" w:eastAsia="SimSun" w:hAnsi="Arial"/>
          <w:lang w:eastAsia="zh-CN"/>
        </w:rPr>
        <w:t xml:space="preserve"> </w:t>
      </w:r>
      <w:r w:rsidRPr="00B01843">
        <w:rPr>
          <w:rFonts w:ascii="Arial" w:eastAsia="SimSun" w:hAnsi="Arial"/>
          <w:i/>
          <w:lang w:eastAsia="zh-CN"/>
        </w:rPr>
        <w:t>iii)</w:t>
      </w:r>
      <w:r w:rsidRPr="00B01843">
        <w:rPr>
          <w:rFonts w:ascii="Arial" w:hAnsi="Arial"/>
        </w:rPr>
        <w:t xml:space="preserve"> inmediatez, y </w:t>
      </w:r>
      <w:r w:rsidR="006D15C0">
        <w:rPr>
          <w:rFonts w:ascii="Arial" w:hAnsi="Arial"/>
        </w:rPr>
        <w:t xml:space="preserve">           </w:t>
      </w:r>
      <w:r w:rsidRPr="00B01843">
        <w:rPr>
          <w:rFonts w:ascii="Arial" w:hAnsi="Arial"/>
          <w:i/>
        </w:rPr>
        <w:t>iv)</w:t>
      </w:r>
      <w:r w:rsidR="006D15C0">
        <w:rPr>
          <w:rFonts w:ascii="Arial" w:hAnsi="Arial"/>
        </w:rPr>
        <w:t xml:space="preserve"> </w:t>
      </w:r>
      <w:r w:rsidRPr="00B01843">
        <w:rPr>
          <w:rFonts w:ascii="Arial" w:hAnsi="Arial"/>
        </w:rPr>
        <w:t xml:space="preserve">subsidiariedad, es decir, agotamiento de los requisitos ordinarios y extraordinarios, siempre y cuando ellos sean idóneos y eficaces para la protección del derecho que se dice vulnerado. </w:t>
      </w:r>
      <w:r w:rsidR="00927B4A">
        <w:rPr>
          <w:rFonts w:ascii="Arial" w:hAnsi="Arial"/>
        </w:rPr>
        <w:t xml:space="preserve"> </w:t>
      </w:r>
    </w:p>
    <w:p w14:paraId="7191936D" w14:textId="77777777" w:rsidR="00714086" w:rsidRPr="00B01843" w:rsidRDefault="00714086" w:rsidP="00714086">
      <w:pPr>
        <w:spacing w:line="276" w:lineRule="auto"/>
        <w:rPr>
          <w:rFonts w:ascii="Arial" w:eastAsia="SimSun" w:hAnsi="Arial"/>
          <w:lang w:eastAsia="zh-CN"/>
        </w:rPr>
      </w:pPr>
    </w:p>
    <w:p w14:paraId="78D1BBF9" w14:textId="77777777" w:rsidR="00714086" w:rsidRPr="00B01843" w:rsidRDefault="00714086" w:rsidP="00714086">
      <w:pPr>
        <w:spacing w:line="276" w:lineRule="auto"/>
        <w:rPr>
          <w:rFonts w:ascii="Arial" w:eastAsia="SimSun" w:hAnsi="Arial"/>
          <w:lang w:eastAsia="zh-CN"/>
        </w:rPr>
      </w:pPr>
      <w:r w:rsidRPr="00B01843">
        <w:rPr>
          <w:rFonts w:ascii="Arial" w:hAnsi="Arial"/>
        </w:rPr>
        <w:t xml:space="preserve">Cuando no se cumpla con uno de esos presupuestos, la Sección declarará </w:t>
      </w:r>
      <w:r w:rsidRPr="00B01843">
        <w:rPr>
          <w:rFonts w:ascii="Arial" w:hAnsi="Arial"/>
          <w:b/>
        </w:rPr>
        <w:t>improcedente</w:t>
      </w:r>
      <w:r w:rsidRPr="00B01843">
        <w:rPr>
          <w:rFonts w:ascii="Arial" w:hAnsi="Arial"/>
        </w:rPr>
        <w:t xml:space="preserve"> el amparo solicitado y no entrará a analizar el fondo del asunto. Por el contrario, cumplidos esos parámetros, corresponderá a la Sala adentrarse en la materia objeto del amparo, a partir de los argumentos expuestos en la solicitud y de los derechos fundamentales que se afirmen vulnerados, en donde para la prosperidad o </w:t>
      </w:r>
      <w:r w:rsidRPr="00B01843">
        <w:rPr>
          <w:rFonts w:ascii="Arial" w:hAnsi="Arial"/>
          <w:b/>
        </w:rPr>
        <w:t>negación</w:t>
      </w:r>
      <w:r w:rsidRPr="00B01843">
        <w:rPr>
          <w:rFonts w:ascii="Arial" w:hAnsi="Arial"/>
        </w:rPr>
        <w:t xml:space="preserve"> del amparo impetrado, se requerirá: </w:t>
      </w:r>
      <w:r w:rsidRPr="00B01843">
        <w:rPr>
          <w:rFonts w:ascii="Arial" w:hAnsi="Arial"/>
          <w:i/>
        </w:rPr>
        <w:t>i)</w:t>
      </w:r>
      <w:r w:rsidRPr="00B01843">
        <w:rPr>
          <w:rFonts w:ascii="Arial" w:hAnsi="Arial"/>
        </w:rPr>
        <w:t xml:space="preserve"> que la causa, motivo o razón a la que se atribuya la transgresión sea de tal entidad que incida directamente en el sentido de la decisión y </w:t>
      </w:r>
      <w:r w:rsidRPr="00B01843">
        <w:rPr>
          <w:rFonts w:ascii="Arial" w:hAnsi="Arial"/>
          <w:i/>
        </w:rPr>
        <w:t>ii)</w:t>
      </w:r>
      <w:r w:rsidRPr="00B01843">
        <w:rPr>
          <w:rFonts w:ascii="Arial" w:hAnsi="Arial"/>
        </w:rPr>
        <w:t xml:space="preserve"> que la acción no intente reabrir el debate de instancia.</w:t>
      </w:r>
    </w:p>
    <w:p w14:paraId="21253792" w14:textId="77777777" w:rsidR="00714086" w:rsidRPr="00B01843" w:rsidRDefault="00714086" w:rsidP="00714086">
      <w:pPr>
        <w:widowControl w:val="0"/>
        <w:spacing w:line="276" w:lineRule="auto"/>
        <w:rPr>
          <w:rFonts w:ascii="Arial" w:hAnsi="Arial"/>
        </w:rPr>
      </w:pPr>
    </w:p>
    <w:p w14:paraId="2BD1961C" w14:textId="77777777" w:rsidR="00714086" w:rsidRPr="00B01843" w:rsidRDefault="00714086" w:rsidP="00714086">
      <w:pPr>
        <w:widowControl w:val="0"/>
        <w:spacing w:line="276" w:lineRule="auto"/>
        <w:rPr>
          <w:rFonts w:ascii="Arial" w:hAnsi="Arial"/>
        </w:rPr>
      </w:pPr>
      <w:r w:rsidRPr="00B01843">
        <w:rPr>
          <w:rFonts w:ascii="Arial" w:hAnsi="Arial"/>
        </w:rPr>
        <w:t xml:space="preserve">Cabe reiterar que esta acción constitucional no puede ser considerada como una </w:t>
      </w:r>
      <w:r w:rsidRPr="00B01843">
        <w:rPr>
          <w:rFonts w:ascii="Arial" w:hAnsi="Arial"/>
          <w:i/>
        </w:rPr>
        <w:t>“tercera instancia”</w:t>
      </w:r>
      <w:r w:rsidRPr="00B01843">
        <w:rPr>
          <w:rFonts w:ascii="Arial" w:hAnsi="Arial"/>
        </w:rPr>
        <w:t xml:space="preserve"> que se emplee, por ejemplo, para revivir términos, interpretaciones o valoraciones probatorias que son propias del juez natural. </w:t>
      </w:r>
    </w:p>
    <w:p w14:paraId="2278813F" w14:textId="77777777" w:rsidR="00714086" w:rsidRPr="00B01843" w:rsidRDefault="00714086" w:rsidP="00714086">
      <w:pPr>
        <w:spacing w:line="276" w:lineRule="auto"/>
        <w:rPr>
          <w:rFonts w:ascii="Arial" w:hAnsi="Arial"/>
          <w:b/>
        </w:rPr>
      </w:pPr>
    </w:p>
    <w:p w14:paraId="040315E6" w14:textId="77777777" w:rsidR="00714086" w:rsidRPr="00B01843" w:rsidRDefault="00714086" w:rsidP="00714086">
      <w:pPr>
        <w:widowControl w:val="0"/>
        <w:spacing w:line="276" w:lineRule="auto"/>
        <w:rPr>
          <w:rFonts w:ascii="Arial" w:hAnsi="Arial"/>
        </w:rPr>
      </w:pPr>
      <w:r w:rsidRPr="00B01843">
        <w:rPr>
          <w:rFonts w:ascii="Arial" w:hAnsi="Arial"/>
        </w:rPr>
        <w:t>Bajo las anteriores directrices se entrará a estudiar el caso de la referencia.</w:t>
      </w:r>
    </w:p>
    <w:p w14:paraId="056BBB07" w14:textId="77777777" w:rsidR="00714086" w:rsidRPr="00B01843" w:rsidRDefault="00714086" w:rsidP="00714086">
      <w:pPr>
        <w:widowControl w:val="0"/>
        <w:spacing w:line="276" w:lineRule="auto"/>
        <w:rPr>
          <w:rFonts w:ascii="Arial" w:hAnsi="Arial"/>
        </w:rPr>
      </w:pPr>
    </w:p>
    <w:p w14:paraId="10F29DF0" w14:textId="77777777" w:rsidR="00714086" w:rsidRPr="00B01843" w:rsidRDefault="00714086" w:rsidP="00714086">
      <w:pPr>
        <w:widowControl w:val="0"/>
        <w:spacing w:line="276" w:lineRule="auto"/>
        <w:rPr>
          <w:rFonts w:ascii="Arial" w:hAnsi="Arial"/>
        </w:rPr>
      </w:pPr>
      <w:r w:rsidRPr="00B01843">
        <w:rPr>
          <w:rFonts w:ascii="Arial" w:hAnsi="Arial"/>
          <w:b/>
        </w:rPr>
        <w:t>2.5. Examen de los requisitos: Procedencia adjetiva</w:t>
      </w:r>
    </w:p>
    <w:p w14:paraId="46A1C1F9" w14:textId="77777777" w:rsidR="00714086" w:rsidRPr="00B01843" w:rsidRDefault="00714086" w:rsidP="00714086">
      <w:pPr>
        <w:widowControl w:val="0"/>
        <w:tabs>
          <w:tab w:val="left" w:pos="3405"/>
        </w:tabs>
        <w:overflowPunct w:val="0"/>
        <w:autoSpaceDE w:val="0"/>
        <w:autoSpaceDN w:val="0"/>
        <w:adjustRightInd w:val="0"/>
        <w:spacing w:line="276" w:lineRule="auto"/>
        <w:textAlignment w:val="baseline"/>
        <w:rPr>
          <w:rFonts w:ascii="Arial" w:hAnsi="Arial"/>
        </w:rPr>
      </w:pPr>
    </w:p>
    <w:p w14:paraId="469B59BA" w14:textId="77777777" w:rsidR="00714086" w:rsidRPr="00B01843" w:rsidRDefault="00714086" w:rsidP="00714086">
      <w:pPr>
        <w:widowControl w:val="0"/>
        <w:tabs>
          <w:tab w:val="left" w:pos="3405"/>
        </w:tabs>
        <w:overflowPunct w:val="0"/>
        <w:autoSpaceDE w:val="0"/>
        <w:autoSpaceDN w:val="0"/>
        <w:adjustRightInd w:val="0"/>
        <w:spacing w:line="276" w:lineRule="auto"/>
        <w:textAlignment w:val="baseline"/>
        <w:rPr>
          <w:rFonts w:ascii="Arial" w:hAnsi="Arial"/>
        </w:rPr>
      </w:pPr>
      <w:r w:rsidRPr="00B01843">
        <w:rPr>
          <w:rFonts w:ascii="Arial" w:hAnsi="Arial"/>
          <w:b/>
        </w:rPr>
        <w:t>2.5.1.</w:t>
      </w:r>
      <w:r w:rsidRPr="00B01843">
        <w:rPr>
          <w:rFonts w:ascii="Arial" w:hAnsi="Arial"/>
        </w:rPr>
        <w:t xml:space="preserve"> Lo primero que la Sala advierte es que el caso objeto de estudio es relevante desde el punto de vista constitucional, por cuanto al revisar el escrito que dio origen a la acción de tutela se puede colegir que la parte actora pretende poner de presente la</w:t>
      </w:r>
      <w:r w:rsidR="00AF34AF" w:rsidRPr="00B01843">
        <w:rPr>
          <w:rFonts w:ascii="Arial" w:hAnsi="Arial"/>
        </w:rPr>
        <w:t xml:space="preserve">s </w:t>
      </w:r>
      <w:r w:rsidRPr="00B01843">
        <w:rPr>
          <w:rFonts w:ascii="Arial" w:hAnsi="Arial"/>
        </w:rPr>
        <w:t>presunta</w:t>
      </w:r>
      <w:r w:rsidR="00AF34AF" w:rsidRPr="00B01843">
        <w:rPr>
          <w:rFonts w:ascii="Arial" w:hAnsi="Arial"/>
        </w:rPr>
        <w:t>s</w:t>
      </w:r>
      <w:r w:rsidRPr="00B01843">
        <w:rPr>
          <w:rFonts w:ascii="Arial" w:hAnsi="Arial"/>
        </w:rPr>
        <w:t xml:space="preserve"> irregularidad</w:t>
      </w:r>
      <w:r w:rsidR="00AF34AF" w:rsidRPr="00B01843">
        <w:rPr>
          <w:rFonts w:ascii="Arial" w:hAnsi="Arial"/>
        </w:rPr>
        <w:t>es</w:t>
      </w:r>
      <w:r w:rsidRPr="00B01843">
        <w:rPr>
          <w:rFonts w:ascii="Arial" w:hAnsi="Arial"/>
        </w:rPr>
        <w:t xml:space="preserve"> en la</w:t>
      </w:r>
      <w:r w:rsidR="00AF34AF" w:rsidRPr="00B01843">
        <w:rPr>
          <w:rFonts w:ascii="Arial" w:hAnsi="Arial"/>
        </w:rPr>
        <w:t>s</w:t>
      </w:r>
      <w:r w:rsidRPr="00B01843">
        <w:rPr>
          <w:rFonts w:ascii="Arial" w:hAnsi="Arial"/>
        </w:rPr>
        <w:t xml:space="preserve"> que incurrió la autoridad judicial cuestionada, en tanto involucra la vulneración de sus derechos fundamentales al debido proceso y a la igualdad, más allá del debate legal surtido ante el juez natural de la especialidad. </w:t>
      </w:r>
    </w:p>
    <w:p w14:paraId="50CE2077" w14:textId="77777777" w:rsidR="00714086" w:rsidRPr="00B01843" w:rsidRDefault="00714086" w:rsidP="00714086">
      <w:pPr>
        <w:widowControl w:val="0"/>
        <w:tabs>
          <w:tab w:val="left" w:pos="3405"/>
        </w:tabs>
        <w:overflowPunct w:val="0"/>
        <w:autoSpaceDE w:val="0"/>
        <w:autoSpaceDN w:val="0"/>
        <w:adjustRightInd w:val="0"/>
        <w:spacing w:line="276" w:lineRule="auto"/>
        <w:textAlignment w:val="baseline"/>
        <w:rPr>
          <w:rFonts w:ascii="Arial" w:hAnsi="Arial"/>
        </w:rPr>
      </w:pPr>
    </w:p>
    <w:p w14:paraId="0EC064A7" w14:textId="77777777" w:rsidR="00AF34AF" w:rsidRPr="00B01843" w:rsidRDefault="00714086" w:rsidP="00AF34AF">
      <w:pPr>
        <w:tabs>
          <w:tab w:val="left" w:pos="1985"/>
        </w:tabs>
        <w:spacing w:line="276" w:lineRule="auto"/>
        <w:rPr>
          <w:rFonts w:ascii="Arial" w:hAnsi="Arial"/>
        </w:rPr>
      </w:pPr>
      <w:r w:rsidRPr="00B01843">
        <w:rPr>
          <w:rFonts w:ascii="Arial" w:hAnsi="Arial"/>
          <w:b/>
        </w:rPr>
        <w:t>2.5.2.</w:t>
      </w:r>
      <w:r w:rsidRPr="00B01843">
        <w:rPr>
          <w:rFonts w:ascii="Arial" w:hAnsi="Arial"/>
        </w:rPr>
        <w:t xml:space="preserve"> No se trata de una tutela contra decisión de igual naturaleza dado que la providencia que controvierten los actores fue proferida dentro del proceso de reparación directa que promovieron contr</w:t>
      </w:r>
      <w:r w:rsidR="00AF34AF" w:rsidRPr="00B01843">
        <w:rPr>
          <w:rFonts w:ascii="Arial" w:hAnsi="Arial"/>
        </w:rPr>
        <w:t>a la Nación, Fiscalía General de la Nación, Ministerio de Defensa, Policía Nacional bajo radicado 11001-33-31-034-2007-00323-01.</w:t>
      </w:r>
    </w:p>
    <w:p w14:paraId="05E211F8" w14:textId="77777777" w:rsidR="00AF34AF" w:rsidRPr="00B01843" w:rsidRDefault="00AF34AF" w:rsidP="00AF34AF">
      <w:pPr>
        <w:tabs>
          <w:tab w:val="left" w:pos="1985"/>
        </w:tabs>
        <w:spacing w:line="276" w:lineRule="auto"/>
        <w:rPr>
          <w:rFonts w:ascii="Arial" w:hAnsi="Arial"/>
        </w:rPr>
      </w:pPr>
    </w:p>
    <w:p w14:paraId="4CD80C84" w14:textId="77777777" w:rsidR="00714086" w:rsidRPr="00B01843" w:rsidRDefault="00714086" w:rsidP="00AF34AF">
      <w:pPr>
        <w:tabs>
          <w:tab w:val="left" w:pos="1985"/>
        </w:tabs>
        <w:spacing w:line="276" w:lineRule="auto"/>
        <w:rPr>
          <w:rFonts w:ascii="Arial" w:hAnsi="Arial"/>
        </w:rPr>
      </w:pPr>
      <w:r w:rsidRPr="00B01843">
        <w:rPr>
          <w:rFonts w:ascii="Arial" w:hAnsi="Arial"/>
          <w:b/>
        </w:rPr>
        <w:lastRenderedPageBreak/>
        <w:t>2.5.3.</w:t>
      </w:r>
      <w:r w:rsidRPr="00B01843">
        <w:rPr>
          <w:rFonts w:ascii="Arial" w:hAnsi="Arial"/>
        </w:rPr>
        <w:t xml:space="preserve"> De igual manera, en el presente asunto se cumple el requisito de inmediatez pues la decisión </w:t>
      </w:r>
      <w:r w:rsidR="00C22062" w:rsidRPr="00B01843">
        <w:rPr>
          <w:rFonts w:ascii="Arial" w:hAnsi="Arial"/>
        </w:rPr>
        <w:t xml:space="preserve">en cuestión </w:t>
      </w:r>
      <w:r w:rsidRPr="00B01843">
        <w:rPr>
          <w:rFonts w:ascii="Arial" w:hAnsi="Arial"/>
        </w:rPr>
        <w:t xml:space="preserve">se profirió el </w:t>
      </w:r>
      <w:r w:rsidR="009D43F9" w:rsidRPr="00B01843">
        <w:rPr>
          <w:rFonts w:ascii="Arial" w:hAnsi="Arial"/>
        </w:rPr>
        <w:t xml:space="preserve">29 de julio de </w:t>
      </w:r>
      <w:r w:rsidRPr="00B01843">
        <w:rPr>
          <w:rFonts w:ascii="Arial" w:hAnsi="Arial"/>
        </w:rPr>
        <w:t xml:space="preserve">2019, notificada </w:t>
      </w:r>
      <w:r w:rsidR="00C22062" w:rsidRPr="00B01843">
        <w:rPr>
          <w:rFonts w:ascii="Arial" w:hAnsi="Arial"/>
        </w:rPr>
        <w:t>mediante</w:t>
      </w:r>
      <w:r w:rsidRPr="00B01843">
        <w:rPr>
          <w:rFonts w:ascii="Arial" w:hAnsi="Arial"/>
        </w:rPr>
        <w:t xml:space="preserve"> </w:t>
      </w:r>
      <w:r w:rsidR="00BE0E13" w:rsidRPr="00B01843">
        <w:rPr>
          <w:rFonts w:ascii="Arial" w:hAnsi="Arial"/>
        </w:rPr>
        <w:t>edicto desfijado el 2 de septiembre</w:t>
      </w:r>
      <w:r w:rsidR="00C22062" w:rsidRPr="00B01843">
        <w:rPr>
          <w:rFonts w:ascii="Arial" w:hAnsi="Arial"/>
        </w:rPr>
        <w:t xml:space="preserve"> del mismo año</w:t>
      </w:r>
      <w:r w:rsidRPr="00B01843">
        <w:rPr>
          <w:rStyle w:val="Refdenotaalpie"/>
          <w:rFonts w:ascii="Arial" w:hAnsi="Arial"/>
        </w:rPr>
        <w:footnoteReference w:id="14"/>
      </w:r>
      <w:r w:rsidR="00C22062" w:rsidRPr="00B01843">
        <w:rPr>
          <w:rFonts w:ascii="Arial" w:hAnsi="Arial"/>
        </w:rPr>
        <w:t xml:space="preserve"> y quedó ejecutoriado el 5 del mismo mes y año, mientras que la acción de tutela se radicó el 5 de marzo de 2020, es decir, dentro de los seis meses que </w:t>
      </w:r>
      <w:r w:rsidR="009971AF" w:rsidRPr="00B01843">
        <w:rPr>
          <w:rFonts w:ascii="Arial" w:hAnsi="Arial"/>
        </w:rPr>
        <w:t xml:space="preserve">esta Sección considera como plazo prudencial para acudir a esta </w:t>
      </w:r>
      <w:r w:rsidRPr="00B01843">
        <w:rPr>
          <w:rFonts w:ascii="Arial" w:hAnsi="Arial"/>
        </w:rPr>
        <w:t>instancia constitucional</w:t>
      </w:r>
      <w:r w:rsidR="009971AF" w:rsidRPr="00B01843">
        <w:rPr>
          <w:rFonts w:ascii="Arial" w:hAnsi="Arial"/>
        </w:rPr>
        <w:t xml:space="preserve">. </w:t>
      </w:r>
    </w:p>
    <w:p w14:paraId="1765115A" w14:textId="77777777" w:rsidR="00714086" w:rsidRPr="00B01843" w:rsidRDefault="00714086" w:rsidP="00714086">
      <w:pPr>
        <w:widowControl w:val="0"/>
        <w:tabs>
          <w:tab w:val="left" w:pos="3405"/>
        </w:tabs>
        <w:overflowPunct w:val="0"/>
        <w:autoSpaceDE w:val="0"/>
        <w:autoSpaceDN w:val="0"/>
        <w:adjustRightInd w:val="0"/>
        <w:spacing w:line="276" w:lineRule="auto"/>
        <w:textAlignment w:val="baseline"/>
        <w:rPr>
          <w:rFonts w:ascii="Arial" w:hAnsi="Arial"/>
        </w:rPr>
      </w:pPr>
    </w:p>
    <w:p w14:paraId="1B5764AB" w14:textId="77777777" w:rsidR="005C0C92" w:rsidRPr="00B01843" w:rsidRDefault="00714086" w:rsidP="002D0B15">
      <w:pPr>
        <w:widowControl w:val="0"/>
        <w:spacing w:line="276" w:lineRule="auto"/>
        <w:contextualSpacing/>
        <w:rPr>
          <w:rFonts w:ascii="Arial" w:hAnsi="Arial"/>
        </w:rPr>
      </w:pPr>
      <w:r w:rsidRPr="00B01843">
        <w:rPr>
          <w:rFonts w:ascii="Arial" w:hAnsi="Arial"/>
          <w:b/>
          <w:bCs/>
        </w:rPr>
        <w:t xml:space="preserve">2.5.4. </w:t>
      </w:r>
      <w:r w:rsidRPr="00B01843">
        <w:rPr>
          <w:rFonts w:ascii="Arial" w:hAnsi="Arial"/>
        </w:rPr>
        <w:t>En lo referente al requisito de subsidiariedad,</w:t>
      </w:r>
      <w:r w:rsidRPr="00B01843">
        <w:rPr>
          <w:rFonts w:ascii="Arial" w:hAnsi="Arial"/>
          <w:b/>
        </w:rPr>
        <w:t xml:space="preserve"> </w:t>
      </w:r>
      <w:r w:rsidR="002D0B15" w:rsidRPr="00B01843">
        <w:rPr>
          <w:rFonts w:ascii="Arial" w:hAnsi="Arial"/>
        </w:rPr>
        <w:t xml:space="preserve">se encuentra </w:t>
      </w:r>
      <w:r w:rsidRPr="00B01843">
        <w:rPr>
          <w:rFonts w:ascii="Arial" w:hAnsi="Arial"/>
        </w:rPr>
        <w:t>que</w:t>
      </w:r>
      <w:r w:rsidR="00D7141B" w:rsidRPr="00B01843">
        <w:rPr>
          <w:rFonts w:ascii="Arial" w:hAnsi="Arial"/>
        </w:rPr>
        <w:t xml:space="preserve"> </w:t>
      </w:r>
      <w:r w:rsidRPr="00B01843">
        <w:rPr>
          <w:rFonts w:ascii="Arial" w:hAnsi="Arial"/>
        </w:rPr>
        <w:t xml:space="preserve">los accionantes </w:t>
      </w:r>
      <w:r w:rsidRPr="00B01843">
        <w:rPr>
          <w:rFonts w:ascii="Arial" w:eastAsia="Times New Roman" w:hAnsi="Arial"/>
          <w:lang w:val="es-MX" w:eastAsia="es-ES"/>
        </w:rPr>
        <w:t>no disponen de otros medios de defensa judicial, ordinarios o extraordinarios, para censurar la sentencia proferida por</w:t>
      </w:r>
      <w:r w:rsidR="005C0C92" w:rsidRPr="00B01843">
        <w:rPr>
          <w:rFonts w:ascii="Arial" w:eastAsia="Times New Roman" w:hAnsi="Arial"/>
          <w:lang w:val="es-MX" w:eastAsia="es-ES"/>
        </w:rPr>
        <w:t xml:space="preserve"> el </w:t>
      </w:r>
      <w:r w:rsidR="005C0C92" w:rsidRPr="00B01843">
        <w:rPr>
          <w:rFonts w:ascii="Arial" w:hAnsi="Arial"/>
        </w:rPr>
        <w:t>Consejo de Estado, Sección Tercera, Subsección C</w:t>
      </w:r>
      <w:r w:rsidRPr="00B01843">
        <w:rPr>
          <w:rFonts w:ascii="Arial" w:eastAsia="Times New Roman" w:hAnsi="Arial"/>
          <w:lang w:val="es-MX" w:eastAsia="es-ES"/>
        </w:rPr>
        <w:t>, pues lo que manifiestan no se ajusta a las causales taxativas contempladas en el artículo 248 de la Ley 1437 de 2011 para que proceda el recurso extraordinario de revisión</w:t>
      </w:r>
      <w:r w:rsidR="005C0C92" w:rsidRPr="00B01843">
        <w:rPr>
          <w:rFonts w:ascii="Arial" w:eastAsia="Times New Roman" w:hAnsi="Arial"/>
          <w:lang w:val="es-MX" w:eastAsia="es-ES"/>
        </w:rPr>
        <w:t xml:space="preserve">. </w:t>
      </w:r>
    </w:p>
    <w:p w14:paraId="02BDA5BA" w14:textId="77777777" w:rsidR="005C0C92" w:rsidRPr="00B01843" w:rsidRDefault="005C0C92" w:rsidP="00714086">
      <w:pPr>
        <w:widowControl w:val="0"/>
        <w:tabs>
          <w:tab w:val="left" w:pos="3405"/>
        </w:tabs>
        <w:overflowPunct w:val="0"/>
        <w:autoSpaceDE w:val="0"/>
        <w:autoSpaceDN w:val="0"/>
        <w:adjustRightInd w:val="0"/>
        <w:spacing w:line="276" w:lineRule="auto"/>
        <w:textAlignment w:val="baseline"/>
        <w:rPr>
          <w:rFonts w:ascii="Arial" w:eastAsia="Times New Roman" w:hAnsi="Arial"/>
          <w:lang w:val="es-MX" w:eastAsia="es-ES"/>
        </w:rPr>
      </w:pPr>
    </w:p>
    <w:p w14:paraId="408B8D7D" w14:textId="77777777" w:rsidR="001D30B4" w:rsidRPr="00B01843" w:rsidRDefault="00BF63E4" w:rsidP="001D30B4">
      <w:pPr>
        <w:widowControl w:val="0"/>
        <w:tabs>
          <w:tab w:val="left" w:pos="3405"/>
        </w:tabs>
        <w:overflowPunct w:val="0"/>
        <w:autoSpaceDE w:val="0"/>
        <w:autoSpaceDN w:val="0"/>
        <w:adjustRightInd w:val="0"/>
        <w:spacing w:line="276" w:lineRule="auto"/>
        <w:textAlignment w:val="baseline"/>
        <w:rPr>
          <w:rFonts w:ascii="Arial" w:hAnsi="Arial"/>
          <w:lang w:val="es-ES_tradnl"/>
        </w:rPr>
      </w:pPr>
      <w:r w:rsidRPr="00B01843">
        <w:rPr>
          <w:rFonts w:ascii="Arial" w:eastAsia="Times New Roman" w:hAnsi="Arial"/>
          <w:lang w:val="es-MX" w:eastAsia="es-ES"/>
        </w:rPr>
        <w:t xml:space="preserve">De otro lado, </w:t>
      </w:r>
      <w:r w:rsidR="005C0C92" w:rsidRPr="00B01843">
        <w:rPr>
          <w:rFonts w:ascii="Arial" w:eastAsia="Times New Roman" w:hAnsi="Arial"/>
          <w:lang w:val="es-MX" w:eastAsia="es-ES"/>
        </w:rPr>
        <w:t xml:space="preserve">se advierte que si bien </w:t>
      </w:r>
      <w:r w:rsidR="00DD29BF" w:rsidRPr="00B01843">
        <w:rPr>
          <w:rFonts w:ascii="Arial" w:eastAsia="Times New Roman" w:hAnsi="Arial"/>
          <w:lang w:val="es-MX" w:eastAsia="es-ES"/>
        </w:rPr>
        <w:t xml:space="preserve">la parte actora </w:t>
      </w:r>
      <w:r w:rsidR="005C0C92" w:rsidRPr="00B01843">
        <w:rPr>
          <w:rFonts w:ascii="Arial" w:eastAsia="Times New Roman" w:hAnsi="Arial"/>
          <w:lang w:val="es-MX" w:eastAsia="es-ES"/>
        </w:rPr>
        <w:t>invocó el presunto desconocimiento de la sentencia de unificación de</w:t>
      </w:r>
      <w:r w:rsidR="00DD29BF" w:rsidRPr="00B01843">
        <w:rPr>
          <w:rFonts w:ascii="Arial" w:eastAsia="Times New Roman" w:hAnsi="Arial"/>
          <w:lang w:val="es-MX" w:eastAsia="es-ES"/>
        </w:rPr>
        <w:t xml:space="preserve"> </w:t>
      </w:r>
      <w:r w:rsidR="00DD29BF" w:rsidRPr="00B01843">
        <w:rPr>
          <w:rFonts w:ascii="Arial" w:hAnsi="Arial"/>
        </w:rPr>
        <w:t>27 de junio de 2017</w:t>
      </w:r>
      <w:r w:rsidR="00DD29BF" w:rsidRPr="00B01843">
        <w:rPr>
          <w:rStyle w:val="Refdenotaalpie"/>
          <w:rFonts w:ascii="Arial" w:hAnsi="Arial"/>
        </w:rPr>
        <w:footnoteReference w:id="15"/>
      </w:r>
      <w:r w:rsidR="00DD29BF" w:rsidRPr="00B01843">
        <w:rPr>
          <w:rFonts w:ascii="Arial" w:hAnsi="Arial"/>
        </w:rPr>
        <w:t xml:space="preserve"> proferida por la Sala Plena de la Sección Tercera de esta Corporación, lo cierto es que no se cumplen los requisitos señalados en el artículo 257 </w:t>
      </w:r>
      <w:r w:rsidR="00DD29BF" w:rsidRPr="00B01843">
        <w:rPr>
          <w:rFonts w:ascii="Arial" w:hAnsi="Arial"/>
          <w:i/>
          <w:iCs/>
        </w:rPr>
        <w:t>ibíd.</w:t>
      </w:r>
      <w:r w:rsidR="00DD29BF" w:rsidRPr="00B01843">
        <w:rPr>
          <w:rFonts w:ascii="Arial" w:hAnsi="Arial"/>
        </w:rPr>
        <w:t xml:space="preserve"> para que formule el </w:t>
      </w:r>
      <w:r w:rsidR="00714086" w:rsidRPr="00B01843">
        <w:rPr>
          <w:rFonts w:ascii="Arial" w:hAnsi="Arial"/>
          <w:lang w:val="es-ES_tradnl"/>
        </w:rPr>
        <w:t xml:space="preserve">recurso extraordinario de unificación de jurisprudencia. </w:t>
      </w:r>
    </w:p>
    <w:p w14:paraId="44BFC1BD" w14:textId="77777777" w:rsidR="00E56391" w:rsidRPr="00B01843" w:rsidRDefault="00E56391" w:rsidP="001D30B4">
      <w:pPr>
        <w:widowControl w:val="0"/>
        <w:tabs>
          <w:tab w:val="left" w:pos="3405"/>
        </w:tabs>
        <w:overflowPunct w:val="0"/>
        <w:autoSpaceDE w:val="0"/>
        <w:autoSpaceDN w:val="0"/>
        <w:adjustRightInd w:val="0"/>
        <w:spacing w:line="276" w:lineRule="auto"/>
        <w:textAlignment w:val="baseline"/>
        <w:rPr>
          <w:rFonts w:ascii="Arial" w:eastAsia="Times New Roman" w:hAnsi="Arial"/>
          <w:lang w:val="es-MX" w:eastAsia="es-ES"/>
        </w:rPr>
      </w:pPr>
    </w:p>
    <w:p w14:paraId="0B784B87" w14:textId="77777777" w:rsidR="00714086" w:rsidRPr="00B01843" w:rsidRDefault="00714086" w:rsidP="001D30B4">
      <w:pPr>
        <w:widowControl w:val="0"/>
        <w:tabs>
          <w:tab w:val="left" w:pos="3405"/>
        </w:tabs>
        <w:overflowPunct w:val="0"/>
        <w:autoSpaceDE w:val="0"/>
        <w:autoSpaceDN w:val="0"/>
        <w:adjustRightInd w:val="0"/>
        <w:spacing w:line="276" w:lineRule="auto"/>
        <w:textAlignment w:val="baseline"/>
        <w:rPr>
          <w:rFonts w:ascii="Arial" w:eastAsia="Times New Roman" w:hAnsi="Arial"/>
          <w:lang w:val="es-MX" w:eastAsia="es-ES"/>
        </w:rPr>
      </w:pPr>
      <w:r w:rsidRPr="00B01843">
        <w:rPr>
          <w:rFonts w:ascii="Arial" w:hAnsi="Arial"/>
        </w:rPr>
        <w:t>Superadas dichas exigencias, la Sala abordará el fondo de la solicitud, sin perjuicio de resaltar el carácter excepcional de la tutela, que tiene como fin garantizar la intangibilidad de la cosa juzgada, el respeto de la autonomía judicial, la protección de derechos de terceros de buena fe, la seguridad jurídica y la confianza en los fallos judiciales.</w:t>
      </w:r>
    </w:p>
    <w:p w14:paraId="20F621AF" w14:textId="77777777" w:rsidR="00714086" w:rsidRPr="00B01843" w:rsidRDefault="00714086" w:rsidP="00714086">
      <w:pPr>
        <w:spacing w:line="276" w:lineRule="auto"/>
        <w:ind w:right="-8"/>
        <w:rPr>
          <w:rFonts w:ascii="Arial" w:hAnsi="Arial"/>
          <w:bCs/>
        </w:rPr>
      </w:pPr>
    </w:p>
    <w:p w14:paraId="1D76ED6D" w14:textId="77777777" w:rsidR="00714086" w:rsidRPr="00B01843" w:rsidRDefault="00714086" w:rsidP="00714086">
      <w:pPr>
        <w:spacing w:line="276" w:lineRule="auto"/>
        <w:rPr>
          <w:rFonts w:ascii="Arial" w:eastAsia="Times New Roman" w:hAnsi="Arial"/>
          <w:b/>
          <w:bCs/>
          <w:lang w:eastAsia="es-ES"/>
        </w:rPr>
      </w:pPr>
      <w:r w:rsidRPr="00B01843">
        <w:rPr>
          <w:rFonts w:ascii="Arial" w:eastAsia="Times New Roman" w:hAnsi="Arial"/>
          <w:b/>
          <w:bCs/>
          <w:lang w:eastAsia="es-ES"/>
        </w:rPr>
        <w:t xml:space="preserve">2.6. Caso concreto </w:t>
      </w:r>
    </w:p>
    <w:p w14:paraId="767F2092" w14:textId="77777777" w:rsidR="00714086" w:rsidRPr="00B01843" w:rsidRDefault="00714086" w:rsidP="00714086">
      <w:pPr>
        <w:spacing w:line="276" w:lineRule="auto"/>
        <w:rPr>
          <w:rFonts w:ascii="Arial" w:eastAsia="Times New Roman" w:hAnsi="Arial"/>
          <w:b/>
          <w:bCs/>
          <w:lang w:eastAsia="es-ES"/>
        </w:rPr>
      </w:pPr>
    </w:p>
    <w:p w14:paraId="0611872A" w14:textId="77777777" w:rsidR="000E63F7" w:rsidRPr="00B01843" w:rsidRDefault="00714086" w:rsidP="000E63F7">
      <w:pPr>
        <w:spacing w:line="276" w:lineRule="auto"/>
        <w:ind w:right="-8"/>
        <w:contextualSpacing/>
        <w:rPr>
          <w:rFonts w:ascii="Arial" w:hAnsi="Arial"/>
        </w:rPr>
      </w:pPr>
      <w:r w:rsidRPr="00B01843">
        <w:rPr>
          <w:rFonts w:ascii="Arial" w:hAnsi="Arial"/>
        </w:rPr>
        <w:t xml:space="preserve">En el </w:t>
      </w:r>
      <w:r w:rsidRPr="00B01843">
        <w:rPr>
          <w:rFonts w:ascii="Arial" w:hAnsi="Arial"/>
          <w:i/>
          <w:iCs/>
        </w:rPr>
        <w:t>sub lite</w:t>
      </w:r>
      <w:r w:rsidRPr="00B01843">
        <w:rPr>
          <w:rFonts w:ascii="Arial" w:hAnsi="Arial"/>
        </w:rPr>
        <w:t xml:space="preserve">, se tiene que </w:t>
      </w:r>
      <w:r w:rsidR="001779D1" w:rsidRPr="00B01843">
        <w:rPr>
          <w:rFonts w:ascii="Arial" w:hAnsi="Arial"/>
        </w:rPr>
        <w:t>los actores consideran</w:t>
      </w:r>
      <w:r w:rsidRPr="00B01843">
        <w:rPr>
          <w:rFonts w:ascii="Arial" w:hAnsi="Arial"/>
        </w:rPr>
        <w:t xml:space="preserve"> que el</w:t>
      </w:r>
      <w:r w:rsidR="001779D1" w:rsidRPr="00B01843">
        <w:rPr>
          <w:rFonts w:ascii="Arial" w:eastAsia="Times New Roman" w:hAnsi="Arial"/>
          <w:lang w:val="es-MX" w:eastAsia="es-ES"/>
        </w:rPr>
        <w:t xml:space="preserve"> </w:t>
      </w:r>
      <w:r w:rsidR="001779D1" w:rsidRPr="00B01843">
        <w:rPr>
          <w:rFonts w:ascii="Arial" w:hAnsi="Arial"/>
        </w:rPr>
        <w:t>Consejo de Estado, Sección Tercera, Subsección C</w:t>
      </w:r>
      <w:r w:rsidR="001779D1" w:rsidRPr="00B01843">
        <w:rPr>
          <w:rFonts w:ascii="Arial" w:eastAsia="Times New Roman" w:hAnsi="Arial"/>
          <w:lang w:val="es-MX" w:eastAsia="es-ES"/>
        </w:rPr>
        <w:t>,</w:t>
      </w:r>
      <w:r w:rsidR="001779D1" w:rsidRPr="00B01843">
        <w:rPr>
          <w:rFonts w:ascii="Arial" w:hAnsi="Arial"/>
        </w:rPr>
        <w:t xml:space="preserve"> </w:t>
      </w:r>
      <w:r w:rsidRPr="00B01843">
        <w:rPr>
          <w:rFonts w:ascii="Arial" w:hAnsi="Arial"/>
        </w:rPr>
        <w:t>en la providencia objeto de reproche, vulneró sus derechos fundamentales invocados</w:t>
      </w:r>
      <w:r w:rsidR="00C06FAD" w:rsidRPr="00B01843">
        <w:rPr>
          <w:rFonts w:ascii="Arial" w:hAnsi="Arial"/>
        </w:rPr>
        <w:t xml:space="preserve"> toda vez que </w:t>
      </w:r>
      <w:r w:rsidR="000E63F7" w:rsidRPr="00B01843">
        <w:rPr>
          <w:rFonts w:ascii="Arial" w:hAnsi="Arial"/>
        </w:rPr>
        <w:t>zanjó el asunto sometido a su consideración bajo las reglas fijadas en la sentencia de unificación de 15 de agosto de 2018</w:t>
      </w:r>
      <w:r w:rsidR="000E63F7" w:rsidRPr="00B01843">
        <w:rPr>
          <w:rStyle w:val="Refdenotaalpie"/>
          <w:rFonts w:ascii="Arial" w:hAnsi="Arial"/>
          <w:color w:val="000000" w:themeColor="text1"/>
          <w:shd w:val="clear" w:color="auto" w:fill="FFFFFF"/>
        </w:rPr>
        <w:footnoteReference w:id="16"/>
      </w:r>
      <w:r w:rsidR="000E63F7" w:rsidRPr="00B01843">
        <w:rPr>
          <w:rFonts w:ascii="Arial" w:hAnsi="Arial"/>
        </w:rPr>
        <w:t>, pese a que los hechos sobre los que giró en torno la controversia acontecieron desde el año 2004 hasta el 2007, esto es, en vigencia del régimen de imputación objetiva establecida por la misma Sección Tercera de</w:t>
      </w:r>
      <w:r w:rsidR="00C06FAD" w:rsidRPr="00B01843">
        <w:rPr>
          <w:rFonts w:ascii="Arial" w:hAnsi="Arial"/>
        </w:rPr>
        <w:t xml:space="preserve"> esta Corporación </w:t>
      </w:r>
      <w:r w:rsidR="000E63F7" w:rsidRPr="00B01843">
        <w:rPr>
          <w:rFonts w:ascii="Arial" w:hAnsi="Arial"/>
        </w:rPr>
        <w:t>para efectos de resolver los procesos de responsabilidad patrimonial del Estado por privación injusta de la libertad.</w:t>
      </w:r>
    </w:p>
    <w:p w14:paraId="697B0F20" w14:textId="77777777" w:rsidR="000E63F7" w:rsidRPr="00B01843" w:rsidRDefault="000E63F7" w:rsidP="00FD31C3">
      <w:pPr>
        <w:spacing w:line="276" w:lineRule="auto"/>
        <w:ind w:right="-8"/>
        <w:rPr>
          <w:rFonts w:ascii="Arial" w:hAnsi="Arial"/>
        </w:rPr>
      </w:pPr>
    </w:p>
    <w:p w14:paraId="310039A9" w14:textId="73F81B0E" w:rsidR="008175AF" w:rsidRPr="00B01843" w:rsidRDefault="007F785E" w:rsidP="008175AF">
      <w:pPr>
        <w:spacing w:line="276" w:lineRule="auto"/>
        <w:ind w:right="-8"/>
        <w:rPr>
          <w:rFonts w:ascii="Arial" w:hAnsi="Arial"/>
        </w:rPr>
      </w:pPr>
      <w:r w:rsidRPr="00B01843">
        <w:rPr>
          <w:rFonts w:ascii="Arial" w:hAnsi="Arial"/>
        </w:rPr>
        <w:t xml:space="preserve">Es así, como </w:t>
      </w:r>
      <w:r w:rsidR="0025452F" w:rsidRPr="00B01843">
        <w:rPr>
          <w:rFonts w:ascii="Arial" w:hAnsi="Arial"/>
        </w:rPr>
        <w:t>afirmaron</w:t>
      </w:r>
      <w:r w:rsidR="00FD31C3" w:rsidRPr="00B01843">
        <w:rPr>
          <w:rFonts w:ascii="Arial" w:hAnsi="Arial"/>
        </w:rPr>
        <w:t xml:space="preserve"> que </w:t>
      </w:r>
      <w:r w:rsidR="00CE3BB2" w:rsidRPr="00B01843">
        <w:rPr>
          <w:rFonts w:ascii="Arial" w:hAnsi="Arial"/>
        </w:rPr>
        <w:t xml:space="preserve">la providencia objeto de tutela </w:t>
      </w:r>
      <w:r w:rsidR="00FD31C3" w:rsidRPr="00B01843">
        <w:rPr>
          <w:rFonts w:ascii="Arial" w:hAnsi="Arial"/>
        </w:rPr>
        <w:t xml:space="preserve">incurrió en los siguientes yerros: </w:t>
      </w:r>
      <w:r w:rsidR="00FD31C3" w:rsidRPr="00B01843">
        <w:rPr>
          <w:rFonts w:ascii="Arial" w:hAnsi="Arial"/>
          <w:b/>
          <w:bCs/>
        </w:rPr>
        <w:t>(i) defecto procedimental absoluto</w:t>
      </w:r>
      <w:r w:rsidR="00FD31C3" w:rsidRPr="00B01843">
        <w:rPr>
          <w:rFonts w:ascii="Arial" w:hAnsi="Arial"/>
        </w:rPr>
        <w:t>, por cuando actuó al margen de la doctrina y la tesis jurisprudencial vigente a la fecha de los hechos;</w:t>
      </w:r>
      <w:r w:rsidR="00444562" w:rsidRPr="00B01843">
        <w:rPr>
          <w:rFonts w:ascii="Arial" w:hAnsi="Arial"/>
        </w:rPr>
        <w:t xml:space="preserve"> </w:t>
      </w:r>
      <w:r w:rsidR="00FD31C3" w:rsidRPr="00B01843">
        <w:rPr>
          <w:rFonts w:ascii="Arial" w:hAnsi="Arial"/>
          <w:b/>
          <w:bCs/>
        </w:rPr>
        <w:t xml:space="preserve">(ii) </w:t>
      </w:r>
      <w:r w:rsidR="00FD31C3" w:rsidRPr="00B01843">
        <w:rPr>
          <w:rFonts w:ascii="Arial" w:hAnsi="Arial"/>
          <w:b/>
          <w:bCs/>
        </w:rPr>
        <w:lastRenderedPageBreak/>
        <w:t>desconocimiento del precedente</w:t>
      </w:r>
      <w:r w:rsidR="00FD31C3" w:rsidRPr="00B01843">
        <w:rPr>
          <w:rFonts w:ascii="Arial" w:hAnsi="Arial"/>
        </w:rPr>
        <w:t>, dado que no tuvo en cuenta la sentencia de unificación de 27 de junio de 2017</w:t>
      </w:r>
      <w:r w:rsidR="00FD31C3" w:rsidRPr="00B01843">
        <w:rPr>
          <w:rStyle w:val="Refdenotaalpie"/>
          <w:rFonts w:ascii="Arial" w:hAnsi="Arial"/>
        </w:rPr>
        <w:footnoteReference w:id="17"/>
      </w:r>
      <w:r w:rsidR="00FD31C3" w:rsidRPr="00B01843">
        <w:rPr>
          <w:rFonts w:ascii="Arial" w:hAnsi="Arial"/>
        </w:rPr>
        <w:t xml:space="preserve"> proferida por la Sala Plena de la Sección Tercera de esta Corporación, que contempló la aplicación </w:t>
      </w:r>
      <w:r w:rsidR="00DD3045" w:rsidRPr="00B01843">
        <w:rPr>
          <w:rFonts w:ascii="Arial" w:hAnsi="Arial"/>
        </w:rPr>
        <w:t xml:space="preserve">de la figura jurídica </w:t>
      </w:r>
      <w:r w:rsidR="008175AF" w:rsidRPr="00B01843">
        <w:rPr>
          <w:rFonts w:ascii="Arial" w:hAnsi="Arial"/>
          <w:lang w:val="es-CO"/>
        </w:rPr>
        <w:t xml:space="preserve">de la </w:t>
      </w:r>
      <w:r w:rsidR="00DD3045" w:rsidRPr="00B01843">
        <w:rPr>
          <w:rFonts w:ascii="Arial" w:hAnsi="Arial"/>
          <w:i/>
          <w:iCs/>
          <w:lang w:val="es-CO"/>
        </w:rPr>
        <w:t>“jurisprudencia anunciada”</w:t>
      </w:r>
      <w:r w:rsidR="00DD3045" w:rsidRPr="00B01843">
        <w:rPr>
          <w:rFonts w:ascii="Arial" w:hAnsi="Arial"/>
        </w:rPr>
        <w:t xml:space="preserve">, </w:t>
      </w:r>
      <w:r w:rsidR="00444562" w:rsidRPr="00B01843">
        <w:rPr>
          <w:rFonts w:ascii="Arial" w:hAnsi="Arial"/>
        </w:rPr>
        <w:t xml:space="preserve">y </w:t>
      </w:r>
      <w:r w:rsidR="00444562" w:rsidRPr="00B01843">
        <w:rPr>
          <w:rFonts w:ascii="Arial" w:hAnsi="Arial"/>
          <w:b/>
          <w:bCs/>
        </w:rPr>
        <w:t>(iii)</w:t>
      </w:r>
      <w:r w:rsidR="00444562" w:rsidRPr="00B01843">
        <w:rPr>
          <w:rFonts w:ascii="Arial" w:hAnsi="Arial"/>
        </w:rPr>
        <w:t xml:space="preserve"> </w:t>
      </w:r>
      <w:r w:rsidR="00444562" w:rsidRPr="00B01843">
        <w:rPr>
          <w:rFonts w:ascii="Arial" w:hAnsi="Arial"/>
          <w:b/>
          <w:bCs/>
        </w:rPr>
        <w:t>violación directa de la Constitución,</w:t>
      </w:r>
      <w:r w:rsidR="00444562" w:rsidRPr="00B01843">
        <w:rPr>
          <w:rFonts w:ascii="Arial" w:hAnsi="Arial"/>
        </w:rPr>
        <w:t xml:space="preserve"> toda vez que vulneró el derecho fundamental al debido proceso.</w:t>
      </w:r>
    </w:p>
    <w:p w14:paraId="70B0C59C" w14:textId="77777777" w:rsidR="00C06FAD" w:rsidRPr="00B01843" w:rsidRDefault="00C06FAD" w:rsidP="008175AF">
      <w:pPr>
        <w:spacing w:line="276" w:lineRule="auto"/>
        <w:ind w:right="-8"/>
        <w:rPr>
          <w:rFonts w:ascii="Arial" w:hAnsi="Arial"/>
        </w:rPr>
      </w:pPr>
    </w:p>
    <w:p w14:paraId="4899DADF" w14:textId="77777777" w:rsidR="00C06FAD" w:rsidRPr="00B01843" w:rsidRDefault="00C06FAD" w:rsidP="00C06FAD">
      <w:pPr>
        <w:spacing w:line="276" w:lineRule="auto"/>
        <w:ind w:right="-8"/>
        <w:contextualSpacing/>
        <w:rPr>
          <w:rFonts w:ascii="Arial" w:hAnsi="Arial"/>
        </w:rPr>
      </w:pPr>
      <w:r w:rsidRPr="00B01843">
        <w:rPr>
          <w:rFonts w:ascii="Arial" w:hAnsi="Arial"/>
        </w:rPr>
        <w:t>Ahora bien, cabe precisar que la autoridad judicial cuestionada, en</w:t>
      </w:r>
      <w:r w:rsidRPr="00B01843">
        <w:rPr>
          <w:rFonts w:ascii="Arial" w:hAnsi="Arial"/>
          <w:lang w:val="es-MX"/>
        </w:rPr>
        <w:t xml:space="preserve"> la providencia de 29 de julio de 2019, revocó el fallo del </w:t>
      </w:r>
      <w:r w:rsidRPr="00B01843">
        <w:rPr>
          <w:rFonts w:ascii="Arial" w:hAnsi="Arial"/>
          <w:i/>
          <w:lang w:val="es-MX"/>
        </w:rPr>
        <w:t>a quo</w:t>
      </w:r>
      <w:r w:rsidRPr="00B01843">
        <w:rPr>
          <w:rFonts w:ascii="Arial" w:hAnsi="Arial"/>
          <w:lang w:val="es-MX"/>
        </w:rPr>
        <w:t xml:space="preserve"> y, en su lugar, denegó las pretensiones de la demanda dentro del medio de control </w:t>
      </w:r>
      <w:r w:rsidRPr="00B01843">
        <w:rPr>
          <w:rFonts w:ascii="Arial" w:hAnsi="Arial"/>
        </w:rPr>
        <w:t xml:space="preserve">de reparación directa que promovieron </w:t>
      </w:r>
      <w:r w:rsidR="00461437" w:rsidRPr="00B01843">
        <w:rPr>
          <w:rFonts w:ascii="Arial" w:hAnsi="Arial"/>
        </w:rPr>
        <w:t xml:space="preserve">los actores </w:t>
      </w:r>
      <w:r w:rsidRPr="00B01843">
        <w:rPr>
          <w:rFonts w:ascii="Arial" w:hAnsi="Arial"/>
        </w:rPr>
        <w:t xml:space="preserve">con el propósito de obtener la reparación de los perjuicios ocasionados con la privación injusta de la libertad a la que fueron sometidos por la presunta comisión de los delitos de secuestro simple en grado de tentativa y concierto para delinquir. </w:t>
      </w:r>
    </w:p>
    <w:p w14:paraId="516E77C0" w14:textId="77777777" w:rsidR="00C06FAD" w:rsidRPr="00B01843" w:rsidRDefault="00C06FAD" w:rsidP="00C06FAD">
      <w:pPr>
        <w:widowControl w:val="0"/>
        <w:spacing w:line="276" w:lineRule="auto"/>
        <w:contextualSpacing/>
        <w:rPr>
          <w:rFonts w:ascii="Arial" w:hAnsi="Arial"/>
          <w:lang w:val="es-CO"/>
        </w:rPr>
      </w:pPr>
    </w:p>
    <w:p w14:paraId="15F4D951" w14:textId="77777777" w:rsidR="00461437" w:rsidRPr="00B01843" w:rsidRDefault="00461437" w:rsidP="00C06FAD">
      <w:pPr>
        <w:widowControl w:val="0"/>
        <w:spacing w:line="276" w:lineRule="auto"/>
        <w:contextualSpacing/>
        <w:rPr>
          <w:rFonts w:ascii="Arial" w:hAnsi="Arial"/>
          <w:lang w:val="es-CO"/>
        </w:rPr>
      </w:pPr>
      <w:r w:rsidRPr="00B01843">
        <w:rPr>
          <w:rFonts w:ascii="Arial" w:hAnsi="Arial"/>
          <w:lang w:val="es-MX"/>
        </w:rPr>
        <w:t xml:space="preserve">Esto, </w:t>
      </w:r>
      <w:r w:rsidR="00C06FAD" w:rsidRPr="00B01843">
        <w:rPr>
          <w:rFonts w:ascii="Arial" w:hAnsi="Arial"/>
          <w:lang w:val="es-MX"/>
        </w:rPr>
        <w:t>tras</w:t>
      </w:r>
      <w:r w:rsidR="00C06FAD" w:rsidRPr="00B01843">
        <w:rPr>
          <w:rFonts w:ascii="Arial" w:hAnsi="Arial"/>
        </w:rPr>
        <w:t xml:space="preserve"> concluir que </w:t>
      </w:r>
      <w:r w:rsidR="00C06FAD" w:rsidRPr="00B01843">
        <w:rPr>
          <w:rFonts w:ascii="Arial" w:hAnsi="Arial"/>
          <w:lang w:val="es-CO"/>
        </w:rPr>
        <w:t>la detención que sufrieron Hipólito Nieto Bonilla y Jorge Iván Ríos Muñoz representaba una medida cautelar que se desarrolló por la autoridad competente de manera legal, necesaria, proporcional y razonable, por lo que el daño sufrido no podía constituirse como antijurídico</w:t>
      </w:r>
      <w:r w:rsidRPr="00B01843">
        <w:rPr>
          <w:rFonts w:ascii="Arial" w:hAnsi="Arial"/>
          <w:lang w:val="es-CO"/>
        </w:rPr>
        <w:t>.</w:t>
      </w:r>
    </w:p>
    <w:p w14:paraId="6D41C6B9" w14:textId="77777777" w:rsidR="00461437" w:rsidRPr="00B01843" w:rsidRDefault="00461437" w:rsidP="00C06FAD">
      <w:pPr>
        <w:widowControl w:val="0"/>
        <w:spacing w:line="276" w:lineRule="auto"/>
        <w:contextualSpacing/>
        <w:rPr>
          <w:rFonts w:ascii="Arial" w:hAnsi="Arial"/>
          <w:lang w:val="es-CO"/>
        </w:rPr>
      </w:pPr>
    </w:p>
    <w:p w14:paraId="0F71A04B" w14:textId="77777777" w:rsidR="00C06FAD" w:rsidRPr="00B01843" w:rsidRDefault="00C06FAD" w:rsidP="00C06FAD">
      <w:pPr>
        <w:widowControl w:val="0"/>
        <w:spacing w:line="276" w:lineRule="auto"/>
        <w:contextualSpacing/>
        <w:rPr>
          <w:rFonts w:ascii="Arial" w:hAnsi="Arial"/>
        </w:rPr>
      </w:pPr>
      <w:r w:rsidRPr="00B01843">
        <w:rPr>
          <w:rFonts w:ascii="Arial" w:hAnsi="Arial"/>
          <w:lang w:val="es-CO"/>
        </w:rPr>
        <w:t xml:space="preserve">La razon de ello, la justificó en que </w:t>
      </w:r>
      <w:r w:rsidRPr="00B01843">
        <w:rPr>
          <w:rFonts w:ascii="Arial" w:hAnsi="Arial"/>
        </w:rPr>
        <w:t>la medida de aseguramiento impuesta a los ac</w:t>
      </w:r>
      <w:r w:rsidR="00461437" w:rsidRPr="00B01843">
        <w:rPr>
          <w:rFonts w:ascii="Arial" w:hAnsi="Arial"/>
        </w:rPr>
        <w:t xml:space="preserve">cionantes </w:t>
      </w:r>
      <w:r w:rsidRPr="00B01843">
        <w:rPr>
          <w:rFonts w:ascii="Arial" w:hAnsi="Arial"/>
        </w:rPr>
        <w:t xml:space="preserve">estuvo precedida de una valoración adecuada de las pruebas obrantes en el plenario, de acuerdo al momento procesal en el que se encontraba la instrucción penal y al tipo de delito investigado, a partir de las cuales era viable  inferir de manera probable que los investigados podían tener un plan conjunto de secuestro, el cual fue frustrado por el accionar del señor Gustavo Rodríguez Moreno y los policías que llegaron al lugar de los hechos, sin perjuicio que </w:t>
      </w:r>
      <w:r w:rsidRPr="00B01843">
        <w:rPr>
          <w:rFonts w:ascii="Arial" w:hAnsi="Arial"/>
          <w:i/>
          <w:iCs/>
        </w:rPr>
        <w:t xml:space="preserve"> </w:t>
      </w:r>
      <w:r w:rsidRPr="00B01843">
        <w:rPr>
          <w:rFonts w:ascii="Arial" w:hAnsi="Arial"/>
        </w:rPr>
        <w:t xml:space="preserve">posteriormente se concluyera que el accionar de los sindicados no encuadraba en la tipología penal de secuestro en grado de tentativa y concierto para delinquir que les fue inicialmente imputado. </w:t>
      </w:r>
    </w:p>
    <w:p w14:paraId="151F251B" w14:textId="77777777" w:rsidR="00C06FAD" w:rsidRPr="00B01843" w:rsidRDefault="00C06FAD" w:rsidP="00C06FAD">
      <w:pPr>
        <w:widowControl w:val="0"/>
        <w:spacing w:line="276" w:lineRule="auto"/>
        <w:contextualSpacing/>
        <w:rPr>
          <w:rFonts w:ascii="Arial" w:hAnsi="Arial"/>
          <w:lang w:val="es-CO"/>
        </w:rPr>
      </w:pPr>
    </w:p>
    <w:p w14:paraId="7464E5AD" w14:textId="77777777" w:rsidR="00B54EDF" w:rsidRPr="00B01843" w:rsidRDefault="00C06FAD" w:rsidP="00B54EDF">
      <w:pPr>
        <w:widowControl w:val="0"/>
        <w:spacing w:line="276" w:lineRule="auto"/>
        <w:contextualSpacing/>
        <w:rPr>
          <w:rFonts w:ascii="Arial" w:hAnsi="Arial"/>
        </w:rPr>
      </w:pPr>
      <w:r w:rsidRPr="00B01843">
        <w:rPr>
          <w:rFonts w:ascii="Arial" w:hAnsi="Arial"/>
          <w:lang w:val="es-CO"/>
        </w:rPr>
        <w:t xml:space="preserve">Lo anterior, luego de analizar el material probatorio allegado el expediente, a partir del cual constató que </w:t>
      </w:r>
      <w:r w:rsidRPr="00B01843">
        <w:rPr>
          <w:rFonts w:ascii="Arial" w:hAnsi="Arial"/>
        </w:rPr>
        <w:t xml:space="preserve">para la época de los hechos los accionantes eran agentes de la Policía Nacional y que su detención fue producto de la flagrancia, </w:t>
      </w:r>
      <w:r w:rsidRPr="00B01843">
        <w:rPr>
          <w:rFonts w:ascii="Arial" w:hAnsi="Arial"/>
          <w:i/>
          <w:iCs/>
        </w:rPr>
        <w:t xml:space="preserve">“tal y como se deriva de la denuncia presentada por el ofendido, Gustavo Rodríguez Moreno, y el informe de policía suscrito por el Subintendente Alexander Arévalo Pantoja”. </w:t>
      </w:r>
      <w:r w:rsidR="00B54EDF" w:rsidRPr="00B01843">
        <w:rPr>
          <w:rFonts w:ascii="Arial" w:hAnsi="Arial"/>
        </w:rPr>
        <w:t>Sobre el particular, señaló:</w:t>
      </w:r>
    </w:p>
    <w:p w14:paraId="5DCC0E17" w14:textId="77777777" w:rsidR="00B54EDF" w:rsidRPr="004548A5" w:rsidRDefault="00B54EDF" w:rsidP="004548A5">
      <w:pPr>
        <w:ind w:left="284" w:right="276"/>
        <w:rPr>
          <w:rFonts w:ascii="Arial" w:hAnsi="Arial"/>
          <w:i/>
          <w:lang w:val="es-ES_tradnl"/>
        </w:rPr>
      </w:pPr>
    </w:p>
    <w:p w14:paraId="66DF37B3" w14:textId="14B801DF" w:rsidR="00C06FAD" w:rsidRPr="00B01843" w:rsidRDefault="00B54EDF" w:rsidP="00B54EDF">
      <w:pPr>
        <w:ind w:left="284" w:right="276"/>
        <w:rPr>
          <w:rFonts w:ascii="Arial" w:hAnsi="Arial"/>
          <w:i/>
          <w:sz w:val="22"/>
          <w:szCs w:val="22"/>
          <w:lang w:val="es-ES_tradnl"/>
        </w:rPr>
      </w:pPr>
      <w:r w:rsidRPr="00B01843">
        <w:rPr>
          <w:rFonts w:ascii="Arial" w:hAnsi="Arial"/>
          <w:i/>
          <w:sz w:val="22"/>
          <w:szCs w:val="22"/>
          <w:lang w:val="es-ES_tradnl"/>
        </w:rPr>
        <w:t xml:space="preserve">“A juicio de la Sala, la flagrancia en la que fueron sorprendidos ambos accionantes es evidente. En primer lugar, el señor Nieto Bonilla se encontraba en las inmediaciones del incidente cuando los patrulleros Carlos Quijano Duque y José́ Rodríguez Sánchez arribaron al lugar de los hechos, además que su captura fue producto del señalamiento realizado por el ofendido como uno de los individuos que se proponía secuestrarlo; en segundo lugar, la captura de Jorge Iván Ríos Muñoz se dio luego de que Gustavo Rodríguez Moreno señalara que las personas que pretendían retenerlo se bajaron de una camioneta Mitsubishi gris, con vidrios polarizados, con placas OHK-152, situación que movió́ a los patrulleros, a solicitar, por el radio-teléfono, </w:t>
      </w:r>
      <w:r w:rsidRPr="00B01843">
        <w:rPr>
          <w:rFonts w:ascii="Arial" w:hAnsi="Arial"/>
          <w:i/>
          <w:sz w:val="22"/>
          <w:szCs w:val="22"/>
          <w:lang w:val="es-ES_tradnl"/>
        </w:rPr>
        <w:lastRenderedPageBreak/>
        <w:t>colaboración para retener dicha camioneta y capturar a quien se encontrara dentro de ella.”</w:t>
      </w:r>
    </w:p>
    <w:p w14:paraId="1C68C564" w14:textId="77777777" w:rsidR="00C06FAD" w:rsidRPr="00B01843" w:rsidRDefault="00C06FAD" w:rsidP="00C06FAD">
      <w:pPr>
        <w:widowControl w:val="0"/>
        <w:spacing w:line="276" w:lineRule="auto"/>
        <w:contextualSpacing/>
        <w:rPr>
          <w:rFonts w:ascii="Arial" w:hAnsi="Arial"/>
          <w:lang w:val="es-CO"/>
        </w:rPr>
      </w:pPr>
    </w:p>
    <w:p w14:paraId="7A694E5D" w14:textId="77777777" w:rsidR="00C06FAD" w:rsidRPr="00B01843" w:rsidRDefault="00C06FAD" w:rsidP="00C06FAD">
      <w:pPr>
        <w:widowControl w:val="0"/>
        <w:spacing w:line="276" w:lineRule="auto"/>
        <w:contextualSpacing/>
        <w:rPr>
          <w:rFonts w:ascii="Arial" w:hAnsi="Arial"/>
          <w:lang w:val="es-CO"/>
        </w:rPr>
      </w:pPr>
      <w:r w:rsidRPr="00B01843">
        <w:rPr>
          <w:rFonts w:ascii="Arial" w:hAnsi="Arial"/>
        </w:rPr>
        <w:t xml:space="preserve">A su vez, </w:t>
      </w:r>
      <w:r w:rsidRPr="00B01843">
        <w:rPr>
          <w:rFonts w:ascii="Arial" w:hAnsi="Arial"/>
          <w:lang w:val="es-CO"/>
        </w:rPr>
        <w:t xml:space="preserve">la autoridad censurada coligió que no era reprochable la actuación de los patrulleros de la Policía Nacional que participaron en la captura, ni la desplegada por el fiscal que inició la investigación penal, pues existían motivos fundados para detener a </w:t>
      </w:r>
      <w:r w:rsidR="00CE3BB2" w:rsidRPr="00B01843">
        <w:rPr>
          <w:rFonts w:ascii="Arial" w:hAnsi="Arial"/>
          <w:lang w:val="es-CO"/>
        </w:rPr>
        <w:t xml:space="preserve">los señores </w:t>
      </w:r>
      <w:r w:rsidRPr="00B01843">
        <w:rPr>
          <w:rFonts w:ascii="Arial" w:hAnsi="Arial"/>
          <w:lang w:val="es-CO"/>
        </w:rPr>
        <w:t>Hipólito Nieto Bonilla y Jorge Iván Ríos Muñoz e iniciar la instrucción en contra de ellos.</w:t>
      </w:r>
    </w:p>
    <w:p w14:paraId="34F0391A" w14:textId="77777777" w:rsidR="00C06FAD" w:rsidRPr="00B01843" w:rsidRDefault="00C06FAD" w:rsidP="00C06FAD">
      <w:pPr>
        <w:widowControl w:val="0"/>
        <w:spacing w:line="276" w:lineRule="auto"/>
        <w:contextualSpacing/>
        <w:rPr>
          <w:rFonts w:ascii="Arial" w:hAnsi="Arial"/>
          <w:lang w:val="es-CO"/>
        </w:rPr>
      </w:pPr>
    </w:p>
    <w:p w14:paraId="4E30A2E3" w14:textId="77777777" w:rsidR="000830F2" w:rsidRPr="00B01843" w:rsidRDefault="00C06FAD" w:rsidP="000830F2">
      <w:pPr>
        <w:widowControl w:val="0"/>
        <w:spacing w:line="276" w:lineRule="auto"/>
        <w:contextualSpacing/>
        <w:rPr>
          <w:rFonts w:ascii="Arial" w:hAnsi="Arial"/>
          <w:i/>
          <w:iCs/>
          <w:lang w:val="es-CO"/>
        </w:rPr>
      </w:pPr>
      <w:r w:rsidRPr="00B01843">
        <w:rPr>
          <w:rFonts w:ascii="Arial" w:hAnsi="Arial"/>
          <w:lang w:val="es-CO"/>
        </w:rPr>
        <w:t>En ese sentido, refirió que las decisiones de tales</w:t>
      </w:r>
      <w:r w:rsidRPr="00B01843">
        <w:rPr>
          <w:rFonts w:ascii="Arial" w:hAnsi="Arial"/>
        </w:rPr>
        <w:t xml:space="preserve"> servidores </w:t>
      </w:r>
      <w:r w:rsidRPr="00B01843">
        <w:rPr>
          <w:rFonts w:ascii="Arial" w:hAnsi="Arial"/>
          <w:lang w:val="es-CO"/>
        </w:rPr>
        <w:t xml:space="preserve">estuvieron acordes con la normatividad vigente para la época de los hechos, tales como los artículos 347 </w:t>
      </w:r>
      <w:r w:rsidRPr="00B01843">
        <w:rPr>
          <w:rFonts w:ascii="Arial" w:hAnsi="Arial"/>
        </w:rPr>
        <w:t xml:space="preserve">de la Ley 600 de 2000, que regulaba la flagrancia de los servidores públicos, </w:t>
      </w:r>
      <w:r w:rsidRPr="00B01843">
        <w:rPr>
          <w:rFonts w:ascii="Arial" w:hAnsi="Arial"/>
          <w:lang w:val="es-CO"/>
        </w:rPr>
        <w:t xml:space="preserve">355 y 356 </w:t>
      </w:r>
      <w:r w:rsidRPr="00B01843">
        <w:rPr>
          <w:rFonts w:ascii="Arial" w:hAnsi="Arial"/>
          <w:i/>
          <w:iCs/>
          <w:lang w:val="es-CO"/>
        </w:rPr>
        <w:t>ibíd.</w:t>
      </w:r>
      <w:r w:rsidRPr="00B01843">
        <w:rPr>
          <w:rFonts w:ascii="Arial" w:hAnsi="Arial"/>
          <w:lang w:val="es-CO"/>
        </w:rPr>
        <w:t xml:space="preserve"> que preveían como única medida de aseguramiento la detención preventiva para el tipo de delito que en tal actuación se investigaba, la cual procedía cuando de las pruebas legalmente producidas en el proceso se inferían por lo menos dos indicios graves de responsabilidad contra el sindicado.</w:t>
      </w:r>
    </w:p>
    <w:p w14:paraId="1863CAF4" w14:textId="77777777" w:rsidR="000830F2" w:rsidRPr="00B01843" w:rsidRDefault="000830F2" w:rsidP="000830F2">
      <w:pPr>
        <w:widowControl w:val="0"/>
        <w:spacing w:line="276" w:lineRule="auto"/>
        <w:contextualSpacing/>
        <w:rPr>
          <w:rFonts w:ascii="Arial" w:hAnsi="Arial"/>
          <w:i/>
          <w:iCs/>
          <w:lang w:val="es-CO"/>
        </w:rPr>
      </w:pPr>
    </w:p>
    <w:p w14:paraId="01E339D0" w14:textId="77777777" w:rsidR="00B54EDF" w:rsidRPr="00B01843" w:rsidRDefault="00C06FAD" w:rsidP="00B54EDF">
      <w:pPr>
        <w:widowControl w:val="0"/>
        <w:spacing w:line="276" w:lineRule="auto"/>
        <w:contextualSpacing/>
        <w:rPr>
          <w:rFonts w:ascii="Arial" w:hAnsi="Arial"/>
        </w:rPr>
      </w:pPr>
      <w:r w:rsidRPr="00B01843">
        <w:rPr>
          <w:rFonts w:ascii="Arial" w:hAnsi="Arial"/>
        </w:rPr>
        <w:t>De este modo</w:t>
      </w:r>
      <w:r w:rsidR="00387347" w:rsidRPr="00B01843">
        <w:rPr>
          <w:rFonts w:ascii="Arial" w:hAnsi="Arial"/>
        </w:rPr>
        <w:t>, e</w:t>
      </w:r>
      <w:r w:rsidRPr="00B01843">
        <w:rPr>
          <w:rFonts w:ascii="Arial" w:hAnsi="Arial"/>
        </w:rPr>
        <w:t>n la providencia en cuestión se encontró razonable la detención de los tutelantes, dado que estuvo soportada en unos indicios sólidos</w:t>
      </w:r>
      <w:r w:rsidR="00387347" w:rsidRPr="00B01843">
        <w:rPr>
          <w:rFonts w:ascii="Arial" w:hAnsi="Arial"/>
        </w:rPr>
        <w:t xml:space="preserve"> –</w:t>
      </w:r>
      <w:r w:rsidR="00387347" w:rsidRPr="00B01843">
        <w:rPr>
          <w:rFonts w:ascii="Arial" w:hAnsi="Arial"/>
          <w:lang w:val="es-CO"/>
        </w:rPr>
        <w:t>el señalamiento directo que realizó el ofendido en contra de los capturados</w:t>
      </w:r>
      <w:r w:rsidR="000830F2" w:rsidRPr="00B01843">
        <w:rPr>
          <w:rFonts w:ascii="Arial" w:hAnsi="Arial"/>
          <w:lang w:val="es-CO"/>
        </w:rPr>
        <w:t xml:space="preserve">, </w:t>
      </w:r>
      <w:r w:rsidR="000830F2" w:rsidRPr="00B01843">
        <w:rPr>
          <w:rFonts w:ascii="Arial" w:hAnsi="Arial"/>
        </w:rPr>
        <w:t>además de las circunstancias particulares que encajaban y de las que se podía inferir inicialmente que aquellos conspiraron de manera conjunta y que su plan resultó frustrado por el accionar ciudadano y policial–</w:t>
      </w:r>
      <w:r w:rsidR="000830F2" w:rsidRPr="00B01843">
        <w:rPr>
          <w:rFonts w:ascii="Arial" w:hAnsi="Arial"/>
          <w:i/>
          <w:iCs/>
          <w:lang w:val="es-CO"/>
        </w:rPr>
        <w:t xml:space="preserve"> </w:t>
      </w:r>
      <w:r w:rsidRPr="00B01843">
        <w:rPr>
          <w:rFonts w:ascii="Arial" w:hAnsi="Arial"/>
        </w:rPr>
        <w:t>que tenían suficiente fuerza de convicción para determinar la necesidad y la pertinencia de la medida de aseguramiento, la cual fue proporcional en función de la pena prevista para los punibles objeto de investigación y que cesó por aplicación de preclusión de investigación, debido a pruebas sobrevinientes</w:t>
      </w:r>
      <w:r w:rsidR="00B54EDF" w:rsidRPr="00B01843">
        <w:rPr>
          <w:rFonts w:ascii="Arial" w:hAnsi="Arial"/>
        </w:rPr>
        <w:t>.</w:t>
      </w:r>
    </w:p>
    <w:p w14:paraId="42B17CFE" w14:textId="77777777" w:rsidR="00B54EDF" w:rsidRPr="00B01843" w:rsidRDefault="00B54EDF" w:rsidP="00B54EDF">
      <w:pPr>
        <w:widowControl w:val="0"/>
        <w:spacing w:line="276" w:lineRule="auto"/>
        <w:contextualSpacing/>
        <w:rPr>
          <w:rFonts w:ascii="Arial" w:hAnsi="Arial"/>
        </w:rPr>
      </w:pPr>
    </w:p>
    <w:p w14:paraId="60A14378" w14:textId="052DA221" w:rsidR="00444562" w:rsidRPr="00B01843" w:rsidRDefault="00461437" w:rsidP="00B54EDF">
      <w:pPr>
        <w:widowControl w:val="0"/>
        <w:spacing w:line="276" w:lineRule="auto"/>
        <w:contextualSpacing/>
        <w:rPr>
          <w:rFonts w:ascii="Arial" w:hAnsi="Arial"/>
        </w:rPr>
      </w:pPr>
      <w:r w:rsidRPr="00B01843">
        <w:rPr>
          <w:rFonts w:ascii="Arial" w:hAnsi="Arial"/>
        </w:rPr>
        <w:t xml:space="preserve">Precisado lo anterior, </w:t>
      </w:r>
      <w:r w:rsidR="00444562" w:rsidRPr="00B01843">
        <w:rPr>
          <w:rFonts w:ascii="Arial" w:hAnsi="Arial"/>
          <w:lang w:val="es-CO"/>
        </w:rPr>
        <w:t xml:space="preserve">resulta necesario referirse al defecto procedimental absoluto, teniendo en cuenta </w:t>
      </w:r>
      <w:r w:rsidR="008B51B5" w:rsidRPr="00B01843">
        <w:rPr>
          <w:rFonts w:ascii="Arial" w:hAnsi="Arial"/>
          <w:lang w:val="es-CO"/>
        </w:rPr>
        <w:t xml:space="preserve">que la </w:t>
      </w:r>
      <w:r w:rsidR="00444562" w:rsidRPr="00B01843">
        <w:rPr>
          <w:rFonts w:ascii="Arial" w:hAnsi="Arial"/>
          <w:lang w:val="es-CO"/>
        </w:rPr>
        <w:t xml:space="preserve">parte actora sugiere la configuración del mismo. </w:t>
      </w:r>
    </w:p>
    <w:p w14:paraId="25A636B3" w14:textId="77777777" w:rsidR="00D7141B" w:rsidRPr="00B01843" w:rsidRDefault="00D7141B" w:rsidP="008175AF">
      <w:pPr>
        <w:spacing w:line="276" w:lineRule="auto"/>
        <w:ind w:right="-8"/>
        <w:rPr>
          <w:rFonts w:ascii="Arial" w:hAnsi="Arial"/>
        </w:rPr>
      </w:pPr>
    </w:p>
    <w:p w14:paraId="748D3E47" w14:textId="77777777" w:rsidR="008175AF" w:rsidRPr="00B01843" w:rsidRDefault="008175AF" w:rsidP="008175AF">
      <w:pPr>
        <w:widowControl w:val="0"/>
        <w:spacing w:line="276" w:lineRule="auto"/>
        <w:contextualSpacing/>
        <w:rPr>
          <w:rFonts w:ascii="Arial" w:hAnsi="Arial"/>
          <w:i/>
          <w:iCs/>
          <w:bdr w:val="none" w:sz="0" w:space="0" w:color="auto" w:frame="1"/>
        </w:rPr>
      </w:pPr>
      <w:r w:rsidRPr="00B01843">
        <w:rPr>
          <w:rFonts w:ascii="Arial" w:hAnsi="Arial"/>
          <w:lang w:val="es-CO"/>
        </w:rPr>
        <w:t>En criterio de l</w:t>
      </w:r>
      <w:r w:rsidRPr="00B01843">
        <w:rPr>
          <w:rFonts w:ascii="Arial" w:hAnsi="Arial"/>
        </w:rPr>
        <w:t>a Corte Constitucional</w:t>
      </w:r>
      <w:r w:rsidRPr="00B01843">
        <w:rPr>
          <w:rStyle w:val="Refdenotaalpie"/>
          <w:rFonts w:ascii="Arial" w:hAnsi="Arial"/>
          <w:bdr w:val="none" w:sz="0" w:space="0" w:color="auto" w:frame="1"/>
          <w:shd w:val="clear" w:color="auto" w:fill="FFFFFF"/>
        </w:rPr>
        <w:footnoteReference w:id="18"/>
      </w:r>
      <w:r w:rsidRPr="00B01843">
        <w:rPr>
          <w:rFonts w:ascii="Arial" w:hAnsi="Arial"/>
        </w:rPr>
        <w:t xml:space="preserve"> el </w:t>
      </w:r>
      <w:r w:rsidRPr="00B01843">
        <w:rPr>
          <w:rFonts w:ascii="Arial" w:hAnsi="Arial"/>
          <w:iCs/>
          <w:bdr w:val="none" w:sz="0" w:space="0" w:color="auto" w:frame="1"/>
        </w:rPr>
        <w:t xml:space="preserve">denominado </w:t>
      </w:r>
      <w:r w:rsidRPr="00B01843">
        <w:rPr>
          <w:rFonts w:ascii="Arial" w:hAnsi="Arial"/>
          <w:bdr w:val="none" w:sz="0" w:space="0" w:color="auto" w:frame="1"/>
          <w:shd w:val="clear" w:color="auto" w:fill="FFFFFF"/>
        </w:rPr>
        <w:t>defecto procedimental absoluto hace referencia a los eventos en que el funcionario judicial “</w:t>
      </w:r>
      <w:r w:rsidRPr="00B01843">
        <w:rPr>
          <w:rFonts w:ascii="Arial" w:hAnsi="Arial"/>
          <w:i/>
          <w:iCs/>
          <w:bdr w:val="none" w:sz="0" w:space="0" w:color="auto" w:frame="1"/>
        </w:rPr>
        <w:t xml:space="preserve">se aparta por completo del procedimiento establecido legalmente para el trámite de un asunto específico”, </w:t>
      </w:r>
      <w:r w:rsidRPr="00B01843">
        <w:rPr>
          <w:rFonts w:ascii="Arial" w:hAnsi="Arial"/>
          <w:bdr w:val="none" w:sz="0" w:space="0" w:color="auto" w:frame="1"/>
        </w:rPr>
        <w:t xml:space="preserve">de ahí que se configure cuando </w:t>
      </w:r>
      <w:r w:rsidRPr="00B01843">
        <w:rPr>
          <w:rFonts w:ascii="Arial" w:hAnsi="Arial"/>
          <w:iCs/>
          <w:bdr w:val="none" w:sz="0" w:space="0" w:color="auto" w:frame="1"/>
        </w:rPr>
        <w:t>este se</w:t>
      </w:r>
      <w:r w:rsidRPr="00B01843">
        <w:rPr>
          <w:rFonts w:ascii="Arial" w:hAnsi="Arial"/>
          <w:i/>
          <w:iCs/>
          <w:bdr w:val="none" w:sz="0" w:space="0" w:color="auto" w:frame="1"/>
        </w:rPr>
        <w:t xml:space="preserve"> </w:t>
      </w:r>
      <w:r w:rsidRPr="00B01843">
        <w:rPr>
          <w:rFonts w:ascii="Arial" w:hAnsi="Arial"/>
          <w:iCs/>
          <w:bdr w:val="none" w:sz="0" w:space="0" w:color="auto" w:frame="1"/>
        </w:rPr>
        <w:t xml:space="preserve">i) ciñe a un trámite completamente ajeno al pertinente u ii) omite etapas sustanciales del procedimiento establecido legalmente, lo que afecta el derecho de defensa y contradicción de una de las partes del proceso.  </w:t>
      </w:r>
    </w:p>
    <w:p w14:paraId="699B0E0B" w14:textId="77777777" w:rsidR="008175AF" w:rsidRPr="00B01843" w:rsidRDefault="008175AF" w:rsidP="008175AF">
      <w:pPr>
        <w:widowControl w:val="0"/>
        <w:spacing w:line="276" w:lineRule="auto"/>
        <w:contextualSpacing/>
        <w:rPr>
          <w:rFonts w:ascii="Arial" w:hAnsi="Arial"/>
          <w:iCs/>
          <w:bdr w:val="none" w:sz="0" w:space="0" w:color="auto" w:frame="1"/>
        </w:rPr>
      </w:pPr>
    </w:p>
    <w:p w14:paraId="7C76BDB2" w14:textId="77777777" w:rsidR="008175AF" w:rsidRPr="00B01843" w:rsidRDefault="008175AF" w:rsidP="008175AF">
      <w:pPr>
        <w:widowControl w:val="0"/>
        <w:spacing w:line="276" w:lineRule="auto"/>
        <w:contextualSpacing/>
        <w:rPr>
          <w:rFonts w:ascii="Arial" w:hAnsi="Arial"/>
          <w:lang w:val="es-CO"/>
        </w:rPr>
      </w:pPr>
      <w:r w:rsidRPr="00B01843">
        <w:rPr>
          <w:rFonts w:ascii="Arial" w:hAnsi="Arial"/>
          <w:iCs/>
          <w:bdr w:val="none" w:sz="0" w:space="0" w:color="auto" w:frame="1"/>
        </w:rPr>
        <w:t>Así las cosas,</w:t>
      </w:r>
      <w:r w:rsidR="00461437" w:rsidRPr="00B01843">
        <w:rPr>
          <w:rFonts w:ascii="Arial" w:hAnsi="Arial"/>
          <w:iCs/>
          <w:bdr w:val="none" w:sz="0" w:space="0" w:color="auto" w:frame="1"/>
        </w:rPr>
        <w:t xml:space="preserve"> la Sala</w:t>
      </w:r>
      <w:r w:rsidRPr="00B01843">
        <w:rPr>
          <w:rFonts w:ascii="Arial" w:hAnsi="Arial"/>
          <w:iCs/>
          <w:bdr w:val="none" w:sz="0" w:space="0" w:color="auto" w:frame="1"/>
        </w:rPr>
        <w:t xml:space="preserve"> </w:t>
      </w:r>
      <w:r w:rsidRPr="00B01843">
        <w:rPr>
          <w:rFonts w:ascii="Arial" w:hAnsi="Arial"/>
          <w:lang w:val="es-CO"/>
        </w:rPr>
        <w:t xml:space="preserve">advierte que </w:t>
      </w:r>
      <w:r w:rsidRPr="00B01843">
        <w:rPr>
          <w:rFonts w:ascii="Arial" w:hAnsi="Arial"/>
          <w:bCs/>
        </w:rPr>
        <w:t xml:space="preserve">no es dable abordar el estudio de este cargo pues fue expuesto en los siguientes términos: </w:t>
      </w:r>
    </w:p>
    <w:p w14:paraId="72583F9C" w14:textId="77777777" w:rsidR="008175AF" w:rsidRPr="00B01843" w:rsidRDefault="008175AF" w:rsidP="008175AF">
      <w:pPr>
        <w:ind w:left="284" w:right="276"/>
        <w:rPr>
          <w:rFonts w:ascii="Arial" w:hAnsi="Arial"/>
          <w:i/>
          <w:sz w:val="22"/>
          <w:szCs w:val="22"/>
          <w:lang w:val="es-ES_tradnl"/>
        </w:rPr>
      </w:pPr>
    </w:p>
    <w:p w14:paraId="3E8D3DE1" w14:textId="77777777" w:rsidR="008175AF" w:rsidRPr="00B01843" w:rsidRDefault="008175AF" w:rsidP="008175AF">
      <w:pPr>
        <w:ind w:left="284" w:right="276"/>
        <w:rPr>
          <w:rFonts w:ascii="Arial" w:hAnsi="Arial"/>
          <w:i/>
          <w:sz w:val="22"/>
          <w:szCs w:val="22"/>
          <w:lang w:val="es-ES_tradnl"/>
        </w:rPr>
      </w:pPr>
      <w:r w:rsidRPr="00B01843">
        <w:rPr>
          <w:rFonts w:ascii="Arial" w:hAnsi="Arial"/>
          <w:i/>
          <w:sz w:val="22"/>
          <w:szCs w:val="22"/>
          <w:lang w:val="es-ES_tradnl"/>
        </w:rPr>
        <w:t>“</w:t>
      </w:r>
      <w:r w:rsidRPr="00B01843">
        <w:rPr>
          <w:rFonts w:ascii="Arial" w:hAnsi="Arial"/>
          <w:b/>
          <w:bCs/>
          <w:i/>
          <w:sz w:val="22"/>
          <w:szCs w:val="22"/>
          <w:lang w:val="es-ES_tradnl"/>
        </w:rPr>
        <w:t>ii) Defecto procedimental absoluto,</w:t>
      </w:r>
      <w:r w:rsidRPr="00B01843">
        <w:rPr>
          <w:rFonts w:ascii="Arial" w:hAnsi="Arial"/>
          <w:i/>
          <w:sz w:val="22"/>
          <w:szCs w:val="22"/>
          <w:lang w:val="es-ES_tradnl"/>
        </w:rPr>
        <w:t xml:space="preserve"> ya que el juez colegiado actuó completamente al margen del procedimiento establecido, bajo el entendido, que debía resolver el caso </w:t>
      </w:r>
      <w:r w:rsidRPr="00B01843">
        <w:rPr>
          <w:rFonts w:ascii="Arial" w:hAnsi="Arial"/>
          <w:i/>
          <w:sz w:val="22"/>
          <w:szCs w:val="22"/>
          <w:lang w:val="es-ES_tradnl"/>
        </w:rPr>
        <w:lastRenderedPageBreak/>
        <w:t xml:space="preserve">con la doctrina y la tesis jurisprudencial vigente para la fecha de los hechos que tenía establecida la corporación para resolver los asuntos de privación de la libertad.” </w:t>
      </w:r>
    </w:p>
    <w:p w14:paraId="4B8BC478" w14:textId="77777777" w:rsidR="008175AF" w:rsidRPr="00B01843" w:rsidRDefault="008175AF" w:rsidP="008175AF">
      <w:pPr>
        <w:ind w:left="284" w:right="276"/>
        <w:rPr>
          <w:rFonts w:ascii="Arial" w:hAnsi="Arial"/>
          <w:i/>
          <w:sz w:val="22"/>
          <w:szCs w:val="22"/>
          <w:lang w:val="es-ES_tradnl"/>
        </w:rPr>
      </w:pPr>
    </w:p>
    <w:p w14:paraId="4BFD005E" w14:textId="77777777" w:rsidR="00461437" w:rsidRPr="00B01843" w:rsidRDefault="008175AF" w:rsidP="00461437">
      <w:pPr>
        <w:shd w:val="clear" w:color="auto" w:fill="FFFFFF"/>
        <w:spacing w:line="276" w:lineRule="auto"/>
        <w:textAlignment w:val="baseline"/>
        <w:rPr>
          <w:rFonts w:ascii="Arial" w:eastAsia="Times New Roman" w:hAnsi="Arial"/>
          <w:color w:val="000000" w:themeColor="text1"/>
          <w:lang w:val="es-CO" w:eastAsia="es-ES_tradnl"/>
        </w:rPr>
      </w:pPr>
      <w:r w:rsidRPr="00B01843">
        <w:rPr>
          <w:rFonts w:ascii="Arial" w:hAnsi="Arial"/>
          <w:bCs/>
          <w:color w:val="000000" w:themeColor="text1"/>
        </w:rPr>
        <w:t>Como</w:t>
      </w:r>
      <w:r w:rsidR="008B51B5" w:rsidRPr="00B01843">
        <w:rPr>
          <w:rFonts w:ascii="Arial" w:hAnsi="Arial"/>
          <w:bCs/>
          <w:color w:val="000000" w:themeColor="text1"/>
        </w:rPr>
        <w:t xml:space="preserve"> se ve</w:t>
      </w:r>
      <w:r w:rsidRPr="00B01843">
        <w:rPr>
          <w:rFonts w:ascii="Arial" w:hAnsi="Arial"/>
          <w:bCs/>
          <w:color w:val="000000" w:themeColor="text1"/>
        </w:rPr>
        <w:t xml:space="preserve">, </w:t>
      </w:r>
      <w:r w:rsidR="008B51B5" w:rsidRPr="00B01843">
        <w:rPr>
          <w:rFonts w:ascii="Arial" w:hAnsi="Arial"/>
          <w:bCs/>
          <w:color w:val="000000" w:themeColor="text1"/>
        </w:rPr>
        <w:t xml:space="preserve">los tutelantes </w:t>
      </w:r>
      <w:r w:rsidRPr="00B01843">
        <w:rPr>
          <w:rFonts w:ascii="Arial" w:hAnsi="Arial"/>
          <w:bCs/>
          <w:color w:val="000000" w:themeColor="text1"/>
        </w:rPr>
        <w:t>no h</w:t>
      </w:r>
      <w:r w:rsidR="008B51B5" w:rsidRPr="00B01843">
        <w:rPr>
          <w:rFonts w:ascii="Arial" w:hAnsi="Arial"/>
          <w:bCs/>
          <w:color w:val="000000" w:themeColor="text1"/>
        </w:rPr>
        <w:t>acen</w:t>
      </w:r>
      <w:r w:rsidRPr="00B01843">
        <w:rPr>
          <w:rFonts w:ascii="Arial" w:hAnsi="Arial"/>
          <w:bCs/>
          <w:color w:val="000000" w:themeColor="text1"/>
        </w:rPr>
        <w:t xml:space="preserve"> alusión a una situación relacionada con la presunta </w:t>
      </w:r>
      <w:r w:rsidRPr="00B01843">
        <w:rPr>
          <w:rFonts w:ascii="Arial" w:hAnsi="Arial"/>
          <w:color w:val="000000" w:themeColor="text1"/>
          <w:lang w:val="es-CO"/>
        </w:rPr>
        <w:t>pretermitación</w:t>
      </w:r>
      <w:r w:rsidRPr="00B01843">
        <w:rPr>
          <w:rFonts w:ascii="Arial" w:hAnsi="Arial"/>
          <w:bCs/>
          <w:color w:val="000000" w:themeColor="text1"/>
          <w:lang w:val="es-CO"/>
        </w:rPr>
        <w:t xml:space="preserve"> de </w:t>
      </w:r>
      <w:r w:rsidRPr="00B01843">
        <w:rPr>
          <w:rFonts w:ascii="Arial" w:hAnsi="Arial"/>
          <w:color w:val="000000" w:themeColor="text1"/>
          <w:lang w:val="es-CO" w:eastAsia="es-ES_tradnl"/>
        </w:rPr>
        <w:t xml:space="preserve">etapas procesales del medio de control de reparación directa, que les impidiera ejercer su </w:t>
      </w:r>
      <w:r w:rsidRPr="00B01843">
        <w:rPr>
          <w:rFonts w:ascii="Arial" w:eastAsia="Times New Roman" w:hAnsi="Arial"/>
          <w:color w:val="000000" w:themeColor="text1"/>
          <w:lang w:val="es-CO" w:eastAsia="es-ES_tradnl"/>
        </w:rPr>
        <w:t xml:space="preserve">derecho a la defensa y a la contradicción, sino que lo pretendido es cuestionar la forma en que la colegiatura enjuiciada aplicó el precedente referente a los casos de privación injusta de la libertad para resolver </w:t>
      </w:r>
      <w:r w:rsidR="008B51B5" w:rsidRPr="00B01843">
        <w:rPr>
          <w:rFonts w:ascii="Arial" w:eastAsia="Times New Roman" w:hAnsi="Arial"/>
          <w:color w:val="000000" w:themeColor="text1"/>
          <w:lang w:val="es-CO" w:eastAsia="es-ES_tradnl"/>
        </w:rPr>
        <w:t>su caso</w:t>
      </w:r>
      <w:r w:rsidR="00AD66AF" w:rsidRPr="00B01843">
        <w:rPr>
          <w:rFonts w:ascii="Arial" w:eastAsia="Times New Roman" w:hAnsi="Arial"/>
          <w:color w:val="000000" w:themeColor="text1"/>
          <w:lang w:val="es-CO" w:eastAsia="es-ES_tradnl"/>
        </w:rPr>
        <w:t xml:space="preserve">, por lo que no tiene vocación de prosperidad. </w:t>
      </w:r>
    </w:p>
    <w:p w14:paraId="4403E8A5" w14:textId="77777777" w:rsidR="00461437" w:rsidRPr="00B01843" w:rsidRDefault="00461437" w:rsidP="00461437">
      <w:pPr>
        <w:shd w:val="clear" w:color="auto" w:fill="FFFFFF"/>
        <w:spacing w:line="276" w:lineRule="auto"/>
        <w:textAlignment w:val="baseline"/>
        <w:rPr>
          <w:rFonts w:ascii="Arial" w:eastAsia="Times New Roman" w:hAnsi="Arial"/>
          <w:color w:val="000000" w:themeColor="text1"/>
          <w:lang w:val="es-CO" w:eastAsia="es-ES_tradnl"/>
        </w:rPr>
      </w:pPr>
    </w:p>
    <w:p w14:paraId="6500DB41" w14:textId="727A8609" w:rsidR="008175AF" w:rsidRPr="00B01843" w:rsidRDefault="008175AF" w:rsidP="00461437">
      <w:pPr>
        <w:shd w:val="clear" w:color="auto" w:fill="FFFFFF"/>
        <w:spacing w:line="276" w:lineRule="auto"/>
        <w:textAlignment w:val="baseline"/>
        <w:rPr>
          <w:rFonts w:ascii="Arial" w:hAnsi="Arial"/>
        </w:rPr>
      </w:pPr>
      <w:r w:rsidRPr="00B01843">
        <w:rPr>
          <w:rFonts w:ascii="Arial" w:hAnsi="Arial"/>
        </w:rPr>
        <w:t>Por otro lado,</w:t>
      </w:r>
      <w:r w:rsidR="008B51B5" w:rsidRPr="00B01843">
        <w:rPr>
          <w:rFonts w:ascii="Arial" w:hAnsi="Arial"/>
        </w:rPr>
        <w:t xml:space="preserve"> </w:t>
      </w:r>
      <w:r w:rsidR="00FB4295" w:rsidRPr="00B01843">
        <w:rPr>
          <w:rFonts w:ascii="Arial" w:hAnsi="Arial"/>
        </w:rPr>
        <w:t xml:space="preserve">se encuentra que </w:t>
      </w:r>
      <w:r w:rsidRPr="00B01843">
        <w:rPr>
          <w:rFonts w:ascii="Arial" w:hAnsi="Arial"/>
        </w:rPr>
        <w:t>los argumentos expuestos por la parte actora para sustentar la configuración de</w:t>
      </w:r>
      <w:r w:rsidR="00AD66AF" w:rsidRPr="00B01843">
        <w:rPr>
          <w:rFonts w:ascii="Arial" w:hAnsi="Arial"/>
        </w:rPr>
        <w:t xml:space="preserve"> los</w:t>
      </w:r>
      <w:r w:rsidRPr="00B01843">
        <w:rPr>
          <w:rFonts w:ascii="Arial" w:hAnsi="Arial"/>
        </w:rPr>
        <w:t xml:space="preserve"> defecto</w:t>
      </w:r>
      <w:r w:rsidR="00AD66AF" w:rsidRPr="00B01843">
        <w:rPr>
          <w:rFonts w:ascii="Arial" w:hAnsi="Arial"/>
        </w:rPr>
        <w:t>s</w:t>
      </w:r>
      <w:r w:rsidRPr="00B01843">
        <w:rPr>
          <w:rFonts w:ascii="Arial" w:hAnsi="Arial"/>
        </w:rPr>
        <w:t xml:space="preserve"> por desconocimiento del precedente y</w:t>
      </w:r>
      <w:r w:rsidR="00AD66AF" w:rsidRPr="00B01843">
        <w:rPr>
          <w:rFonts w:ascii="Arial" w:hAnsi="Arial"/>
        </w:rPr>
        <w:t xml:space="preserve"> de </w:t>
      </w:r>
      <w:r w:rsidRPr="00B01843">
        <w:rPr>
          <w:rFonts w:ascii="Arial" w:hAnsi="Arial"/>
        </w:rPr>
        <w:t xml:space="preserve">violación directa de la Constitución están estrechamente relacionados, </w:t>
      </w:r>
      <w:r w:rsidR="00B53408" w:rsidRPr="00B01843">
        <w:rPr>
          <w:rFonts w:ascii="Arial" w:hAnsi="Arial"/>
        </w:rPr>
        <w:t xml:space="preserve">en atención a que el actor considera que la autoridad judicial enjuiciada incurrió en los mismos al resolver la controversia expuesta en el medio de control al tenor de las reglas señaladas por la </w:t>
      </w:r>
      <w:r w:rsidR="00B53408" w:rsidRPr="00B01843">
        <w:rPr>
          <w:rFonts w:ascii="Arial" w:hAnsi="Arial"/>
          <w:color w:val="000000" w:themeColor="text1"/>
          <w:shd w:val="clear" w:color="auto" w:fill="FFFFFF"/>
        </w:rPr>
        <w:t>Sala Plena de la Sección Tercera del Consejo de Estado</w:t>
      </w:r>
      <w:r w:rsidR="00B53408" w:rsidRPr="00B01843">
        <w:rPr>
          <w:rFonts w:ascii="Arial" w:hAnsi="Arial"/>
        </w:rPr>
        <w:t xml:space="preserve"> en la sentencia de unificación de 15 de agosto de 2018, </w:t>
      </w:r>
      <w:r w:rsidRPr="00B01843">
        <w:rPr>
          <w:rFonts w:ascii="Arial" w:hAnsi="Arial"/>
        </w:rPr>
        <w:t xml:space="preserve">por lo que se procederá a realizar su estudio de manera conjunta.  </w:t>
      </w:r>
    </w:p>
    <w:p w14:paraId="6CE83A3B" w14:textId="77777777" w:rsidR="008175AF" w:rsidRPr="00B01843" w:rsidRDefault="008175AF" w:rsidP="008175AF">
      <w:pPr>
        <w:spacing w:line="276" w:lineRule="auto"/>
        <w:ind w:right="-8"/>
        <w:rPr>
          <w:rFonts w:ascii="Arial" w:hAnsi="Arial"/>
        </w:rPr>
      </w:pPr>
    </w:p>
    <w:p w14:paraId="240EDFAC" w14:textId="77777777" w:rsidR="00444562" w:rsidRPr="00B01843" w:rsidRDefault="008175AF" w:rsidP="008175AF">
      <w:pPr>
        <w:widowControl w:val="0"/>
        <w:spacing w:line="276" w:lineRule="auto"/>
        <w:contextualSpacing/>
        <w:rPr>
          <w:rFonts w:ascii="Arial" w:hAnsi="Arial"/>
        </w:rPr>
      </w:pPr>
      <w:r w:rsidRPr="00B01843">
        <w:rPr>
          <w:rFonts w:ascii="Arial" w:hAnsi="Arial"/>
        </w:rPr>
        <w:t xml:space="preserve">En lo referente al </w:t>
      </w:r>
      <w:r w:rsidR="00444562" w:rsidRPr="00B01843">
        <w:rPr>
          <w:rFonts w:ascii="Arial" w:hAnsi="Arial"/>
        </w:rPr>
        <w:t xml:space="preserve">defecto por desconocimiento del precedente, </w:t>
      </w:r>
      <w:r w:rsidRPr="00B01843">
        <w:rPr>
          <w:rFonts w:ascii="Arial" w:hAnsi="Arial"/>
        </w:rPr>
        <w:t>se tiene que la</w:t>
      </w:r>
      <w:r w:rsidR="00444562" w:rsidRPr="00B01843">
        <w:rPr>
          <w:rFonts w:ascii="Arial" w:hAnsi="Arial"/>
        </w:rPr>
        <w:t xml:space="preserve"> postura de la Sala </w:t>
      </w:r>
      <w:r w:rsidRPr="00B01843">
        <w:rPr>
          <w:rFonts w:ascii="Arial" w:hAnsi="Arial"/>
          <w:color w:val="000000"/>
        </w:rPr>
        <w:t xml:space="preserve">frente al mismo </w:t>
      </w:r>
      <w:r w:rsidR="00444562" w:rsidRPr="00B01843">
        <w:rPr>
          <w:rFonts w:ascii="Arial" w:hAnsi="Arial"/>
          <w:color w:val="000000"/>
        </w:rPr>
        <w:t>corresponde a la siguiente:</w:t>
      </w:r>
    </w:p>
    <w:p w14:paraId="69A7953C" w14:textId="77777777" w:rsidR="00444562" w:rsidRPr="00B01843" w:rsidRDefault="00444562" w:rsidP="00444562">
      <w:pPr>
        <w:ind w:left="284" w:right="276"/>
        <w:rPr>
          <w:rFonts w:ascii="Arial" w:eastAsia="Arial" w:hAnsi="Arial"/>
          <w:i/>
          <w:sz w:val="22"/>
          <w:szCs w:val="22"/>
        </w:rPr>
      </w:pPr>
    </w:p>
    <w:p w14:paraId="5D151123" w14:textId="77777777" w:rsidR="00444562" w:rsidRPr="00B01843" w:rsidRDefault="00444562" w:rsidP="00444562">
      <w:pPr>
        <w:ind w:left="284" w:right="276"/>
        <w:rPr>
          <w:rFonts w:ascii="Arial" w:eastAsia="Arial" w:hAnsi="Arial"/>
          <w:i/>
          <w:sz w:val="22"/>
          <w:szCs w:val="22"/>
        </w:rPr>
      </w:pPr>
      <w:r w:rsidRPr="00B01843">
        <w:rPr>
          <w:rFonts w:ascii="Arial" w:eastAsia="Arial" w:hAnsi="Arial"/>
          <w:i/>
          <w:sz w:val="22"/>
          <w:szCs w:val="22"/>
        </w:rPr>
        <w:t>“…es la decisión, o el conjunto de decisiones, que sirven de referente al juez que debe pronunciarse respecto de un asunto determinado, por guardar una similitud en sus presupuestos fácticos y jurídicos, y respecto de los cuales la ratio decidendi constituye la regla… que obliga al operador jurídico a fallar en determinado sentido…”.</w:t>
      </w:r>
      <w:r w:rsidRPr="00B01843">
        <w:rPr>
          <w:rFonts w:ascii="Arial" w:eastAsia="Arial" w:hAnsi="Arial"/>
          <w:iCs/>
          <w:sz w:val="22"/>
          <w:szCs w:val="22"/>
          <w:vertAlign w:val="superscript"/>
        </w:rPr>
        <w:footnoteReference w:id="19"/>
      </w:r>
    </w:p>
    <w:p w14:paraId="0C3F4C9A" w14:textId="77777777" w:rsidR="00461437" w:rsidRPr="00B01843" w:rsidRDefault="00461437" w:rsidP="00444562">
      <w:pPr>
        <w:ind w:left="284" w:right="276"/>
        <w:rPr>
          <w:rFonts w:ascii="Arial" w:eastAsia="Arial" w:hAnsi="Arial"/>
          <w:i/>
          <w:sz w:val="22"/>
          <w:szCs w:val="22"/>
        </w:rPr>
      </w:pPr>
    </w:p>
    <w:p w14:paraId="736A5E19" w14:textId="77777777" w:rsidR="00444562" w:rsidRPr="00B01843" w:rsidRDefault="00444562" w:rsidP="00444562">
      <w:pPr>
        <w:widowControl w:val="0"/>
        <w:spacing w:line="276" w:lineRule="auto"/>
        <w:contextualSpacing/>
        <w:rPr>
          <w:rFonts w:ascii="Arial" w:hAnsi="Arial"/>
        </w:rPr>
      </w:pPr>
      <w:r w:rsidRPr="00B01843">
        <w:rPr>
          <w:rFonts w:ascii="Arial" w:hAnsi="Arial"/>
        </w:rPr>
        <w:t xml:space="preserve">A este tenor, la Sección en reiterados pronunciamientos explicó que el concepto de precedente hace referencia a la regla de derecho determinante del sentido de la decisión y su contenido específico, es decir, la </w:t>
      </w:r>
      <w:r w:rsidRPr="00B01843">
        <w:rPr>
          <w:rFonts w:ascii="Arial" w:hAnsi="Arial"/>
          <w:i/>
          <w:iCs/>
        </w:rPr>
        <w:t>ratio decidendi</w:t>
      </w:r>
      <w:r w:rsidRPr="00B01843">
        <w:rPr>
          <w:rFonts w:ascii="Arial" w:hAnsi="Arial"/>
        </w:rPr>
        <w:t>, la cual no está atada al número de decisiones, dado que solo basta una providencia en donde se especifique una regla o subregla de derecho.</w:t>
      </w:r>
    </w:p>
    <w:p w14:paraId="52A8E116" w14:textId="77777777" w:rsidR="00444562" w:rsidRPr="00B01843" w:rsidRDefault="00444562" w:rsidP="00444562">
      <w:pPr>
        <w:widowControl w:val="0"/>
        <w:spacing w:line="276" w:lineRule="auto"/>
        <w:contextualSpacing/>
        <w:rPr>
          <w:rFonts w:ascii="Arial" w:hAnsi="Arial"/>
        </w:rPr>
      </w:pPr>
    </w:p>
    <w:p w14:paraId="33CFFA82" w14:textId="77777777" w:rsidR="00444562" w:rsidRPr="00B01843" w:rsidRDefault="00444562" w:rsidP="00444562">
      <w:pPr>
        <w:widowControl w:val="0"/>
        <w:spacing w:line="276" w:lineRule="auto"/>
        <w:contextualSpacing/>
        <w:rPr>
          <w:rFonts w:ascii="Arial" w:hAnsi="Arial"/>
        </w:rPr>
      </w:pPr>
      <w:r w:rsidRPr="00B01843">
        <w:rPr>
          <w:rFonts w:ascii="Arial" w:hAnsi="Arial"/>
          <w:lang w:val="es-ES_tradnl" w:eastAsia="es-ES"/>
        </w:rPr>
        <w:t>Cabe resaltar que el carácter vinculante de las reglas o subreglas de derecho creadas por las Altas Cortes, encuentra su fundamento en la jerarquía del juez, a sus funciones asignadas por la norma superior y a la garantía de los principios de igualdad y seguridad jurídica, así como, en la coherencia del ordenamiento jurídico.</w:t>
      </w:r>
    </w:p>
    <w:p w14:paraId="4CCA2E2F" w14:textId="77777777" w:rsidR="00444562" w:rsidRPr="00B01843" w:rsidRDefault="00444562" w:rsidP="00444562">
      <w:pPr>
        <w:widowControl w:val="0"/>
        <w:spacing w:line="276" w:lineRule="auto"/>
        <w:contextualSpacing/>
        <w:rPr>
          <w:rFonts w:ascii="Arial" w:hAnsi="Arial"/>
        </w:rPr>
      </w:pPr>
    </w:p>
    <w:p w14:paraId="035A9C91" w14:textId="77777777" w:rsidR="00AD66AF" w:rsidRPr="00B01843" w:rsidRDefault="00444562" w:rsidP="00444562">
      <w:pPr>
        <w:widowControl w:val="0"/>
        <w:spacing w:line="276" w:lineRule="auto"/>
        <w:contextualSpacing/>
        <w:rPr>
          <w:rFonts w:ascii="Arial" w:hAnsi="Arial"/>
        </w:rPr>
      </w:pPr>
      <w:r w:rsidRPr="00B01843">
        <w:rPr>
          <w:rFonts w:ascii="Arial" w:hAnsi="Arial"/>
          <w:lang w:val="es-ES_tradnl" w:eastAsia="es-ES"/>
        </w:rPr>
        <w:t>Luego entonces, la parte que invoca el desconocimiento de un precedente</w:t>
      </w:r>
      <w:r w:rsidR="005064F9" w:rsidRPr="00B01843">
        <w:rPr>
          <w:rFonts w:ascii="Arial" w:hAnsi="Arial"/>
          <w:lang w:val="es-ES_tradnl" w:eastAsia="es-ES"/>
        </w:rPr>
        <w:t xml:space="preserve"> judicial </w:t>
      </w:r>
      <w:r w:rsidRPr="00B01843">
        <w:rPr>
          <w:rFonts w:ascii="Arial" w:hAnsi="Arial"/>
          <w:lang w:val="es-ES_tradnl" w:eastAsia="es-ES"/>
        </w:rPr>
        <w:t xml:space="preserve">debe cumplir con la carga mínima de (i) identificar la decisión que considera desatendida, (ii) la </w:t>
      </w:r>
      <w:r w:rsidRPr="00B01843">
        <w:rPr>
          <w:rFonts w:ascii="Arial" w:hAnsi="Arial"/>
          <w:i/>
          <w:lang w:val="es-ES_tradnl" w:eastAsia="es-ES"/>
        </w:rPr>
        <w:t>ratio</w:t>
      </w:r>
      <w:r w:rsidRPr="00B01843">
        <w:rPr>
          <w:rFonts w:ascii="Arial" w:hAnsi="Arial"/>
          <w:lang w:val="es-ES_tradnl" w:eastAsia="es-ES"/>
        </w:rPr>
        <w:t xml:space="preserve"> de la misma aplicable a la solución del nuevo caso que se somete a la jurisdicción dada la analogía con la </w:t>
      </w:r>
      <w:r w:rsidRPr="00B01843">
        <w:rPr>
          <w:rFonts w:ascii="Arial" w:hAnsi="Arial"/>
          <w:i/>
          <w:lang w:val="es-ES_tradnl" w:eastAsia="es-ES"/>
        </w:rPr>
        <w:t>Litis</w:t>
      </w:r>
      <w:r w:rsidRPr="00B01843">
        <w:rPr>
          <w:rFonts w:ascii="Arial" w:hAnsi="Arial"/>
          <w:lang w:val="es-ES_tradnl" w:eastAsia="es-ES"/>
        </w:rPr>
        <w:t xml:space="preserve"> anterior, y</w:t>
      </w:r>
      <w:r w:rsidR="00AD66AF" w:rsidRPr="00B01843">
        <w:rPr>
          <w:rFonts w:ascii="Arial" w:hAnsi="Arial"/>
          <w:lang w:val="es-ES_tradnl" w:eastAsia="es-ES"/>
        </w:rPr>
        <w:t xml:space="preserve"> </w:t>
      </w:r>
      <w:r w:rsidRPr="00B01843">
        <w:rPr>
          <w:rFonts w:ascii="Arial" w:hAnsi="Arial"/>
          <w:lang w:val="es-ES_tradnl" w:eastAsia="es-ES"/>
        </w:rPr>
        <w:t>(iii) la incidencia de esta en la decisión final que adopte el fallador de instancia.</w:t>
      </w:r>
    </w:p>
    <w:p w14:paraId="463511D6" w14:textId="77777777" w:rsidR="00AD66AF" w:rsidRPr="00B01843" w:rsidRDefault="00AD66AF" w:rsidP="00444562">
      <w:pPr>
        <w:widowControl w:val="0"/>
        <w:spacing w:line="276" w:lineRule="auto"/>
        <w:contextualSpacing/>
        <w:rPr>
          <w:rFonts w:ascii="Arial" w:hAnsi="Arial"/>
        </w:rPr>
      </w:pPr>
    </w:p>
    <w:p w14:paraId="7CFA0A31" w14:textId="77777777" w:rsidR="00343A88" w:rsidRPr="00B01843" w:rsidRDefault="00AD66AF" w:rsidP="00444562">
      <w:pPr>
        <w:widowControl w:val="0"/>
        <w:spacing w:line="276" w:lineRule="auto"/>
        <w:contextualSpacing/>
        <w:rPr>
          <w:rFonts w:ascii="Arial" w:hAnsi="Arial"/>
          <w:lang w:val="es-CO"/>
        </w:rPr>
      </w:pPr>
      <w:r w:rsidRPr="00B01843">
        <w:rPr>
          <w:rFonts w:ascii="Arial" w:hAnsi="Arial"/>
        </w:rPr>
        <w:t xml:space="preserve">Así las cosas, </w:t>
      </w:r>
      <w:r w:rsidR="00461437" w:rsidRPr="00B01843">
        <w:rPr>
          <w:rFonts w:ascii="Arial" w:hAnsi="Arial"/>
        </w:rPr>
        <w:t xml:space="preserve">se </w:t>
      </w:r>
      <w:r w:rsidRPr="00B01843">
        <w:rPr>
          <w:rFonts w:ascii="Arial" w:hAnsi="Arial"/>
        </w:rPr>
        <w:t xml:space="preserve">encuentra que la parte actora cumplió con la carga argumentativa </w:t>
      </w:r>
      <w:r w:rsidRPr="00B01843">
        <w:rPr>
          <w:rFonts w:ascii="Arial" w:hAnsi="Arial"/>
        </w:rPr>
        <w:lastRenderedPageBreak/>
        <w:t>requerida para</w:t>
      </w:r>
      <w:r w:rsidR="00D45AE8" w:rsidRPr="00B01843">
        <w:rPr>
          <w:rFonts w:ascii="Arial" w:hAnsi="Arial"/>
        </w:rPr>
        <w:t xml:space="preserve"> analizar este cargo</w:t>
      </w:r>
      <w:r w:rsidRPr="00B01843">
        <w:rPr>
          <w:rFonts w:ascii="Arial" w:hAnsi="Arial"/>
        </w:rPr>
        <w:t>, pues considera que el</w:t>
      </w:r>
      <w:r w:rsidRPr="00B01843">
        <w:rPr>
          <w:rFonts w:ascii="Arial" w:eastAsia="Times New Roman" w:hAnsi="Arial"/>
          <w:lang w:val="es-MX" w:eastAsia="es-ES"/>
        </w:rPr>
        <w:t xml:space="preserve"> </w:t>
      </w:r>
      <w:r w:rsidRPr="00B01843">
        <w:rPr>
          <w:rFonts w:ascii="Arial" w:hAnsi="Arial"/>
        </w:rPr>
        <w:t>Consejo de Estado, Sección Tercera, Subsección C</w:t>
      </w:r>
      <w:r w:rsidRPr="00B01843">
        <w:rPr>
          <w:rFonts w:ascii="Arial" w:eastAsia="Times New Roman" w:hAnsi="Arial"/>
          <w:lang w:val="es-MX" w:eastAsia="es-ES"/>
        </w:rPr>
        <w:t>,</w:t>
      </w:r>
      <w:r w:rsidR="00D45AE8" w:rsidRPr="00B01843">
        <w:rPr>
          <w:rFonts w:ascii="Arial" w:eastAsia="Times New Roman" w:hAnsi="Arial"/>
          <w:lang w:val="es-MX" w:eastAsia="es-ES"/>
        </w:rPr>
        <w:t xml:space="preserve"> </w:t>
      </w:r>
      <w:r w:rsidRPr="00B01843">
        <w:rPr>
          <w:rFonts w:ascii="Arial" w:eastAsia="Times New Roman" w:hAnsi="Arial"/>
          <w:lang w:val="es-MX" w:eastAsia="es-ES"/>
        </w:rPr>
        <w:t xml:space="preserve">se apartó de la </w:t>
      </w:r>
      <w:r w:rsidR="00444562" w:rsidRPr="00B01843">
        <w:rPr>
          <w:rFonts w:ascii="Arial" w:hAnsi="Arial"/>
        </w:rPr>
        <w:t xml:space="preserve">sentencia de unificación proferida </w:t>
      </w:r>
      <w:r w:rsidR="00447F44" w:rsidRPr="00B01843">
        <w:rPr>
          <w:rFonts w:ascii="Arial" w:hAnsi="Arial"/>
        </w:rPr>
        <w:t>el 27 de junio de 2017</w:t>
      </w:r>
      <w:r w:rsidR="00447F44" w:rsidRPr="00B01843">
        <w:rPr>
          <w:rStyle w:val="Refdenotaalpie"/>
          <w:rFonts w:ascii="Arial" w:hAnsi="Arial"/>
        </w:rPr>
        <w:footnoteReference w:id="20"/>
      </w:r>
      <w:r w:rsidR="00447F44" w:rsidRPr="00B01843">
        <w:rPr>
          <w:rFonts w:ascii="Arial" w:hAnsi="Arial"/>
        </w:rPr>
        <w:t xml:space="preserve"> por la Sala Plena</w:t>
      </w:r>
      <w:r w:rsidR="00D45AE8" w:rsidRPr="00B01843">
        <w:rPr>
          <w:rFonts w:ascii="Arial" w:hAnsi="Arial"/>
        </w:rPr>
        <w:t xml:space="preserve"> de esa misma sección</w:t>
      </w:r>
      <w:r w:rsidR="00447F44" w:rsidRPr="00B01843">
        <w:rPr>
          <w:rFonts w:ascii="Arial" w:hAnsi="Arial"/>
        </w:rPr>
        <w:t>,</w:t>
      </w:r>
      <w:r w:rsidR="00D45AE8" w:rsidRPr="00B01843">
        <w:rPr>
          <w:rFonts w:ascii="Arial" w:hAnsi="Arial"/>
        </w:rPr>
        <w:t xml:space="preserve"> en el entendido de aplicar la figura </w:t>
      </w:r>
      <w:r w:rsidR="00D45AE8" w:rsidRPr="00B01843">
        <w:rPr>
          <w:rFonts w:ascii="Arial" w:hAnsi="Arial"/>
          <w:lang w:val="es-CO"/>
        </w:rPr>
        <w:t xml:space="preserve">jurídica llamada </w:t>
      </w:r>
      <w:r w:rsidR="00D45AE8" w:rsidRPr="00B01843">
        <w:rPr>
          <w:rFonts w:ascii="Arial" w:hAnsi="Arial"/>
          <w:i/>
          <w:iCs/>
          <w:lang w:val="es-CO"/>
        </w:rPr>
        <w:t>“jurisprudencia anunciada”</w:t>
      </w:r>
      <w:r w:rsidR="00343A88" w:rsidRPr="00B01843">
        <w:rPr>
          <w:rFonts w:ascii="Arial" w:hAnsi="Arial"/>
          <w:lang w:val="es-CO"/>
        </w:rPr>
        <w:t xml:space="preserve">. </w:t>
      </w:r>
    </w:p>
    <w:p w14:paraId="1F65F6A2" w14:textId="77777777" w:rsidR="00343A88" w:rsidRPr="00B01843" w:rsidRDefault="00343A88" w:rsidP="00444562">
      <w:pPr>
        <w:widowControl w:val="0"/>
        <w:spacing w:line="276" w:lineRule="auto"/>
        <w:contextualSpacing/>
        <w:rPr>
          <w:rFonts w:ascii="Arial" w:hAnsi="Arial"/>
          <w:lang w:val="es-CO"/>
        </w:rPr>
      </w:pPr>
    </w:p>
    <w:p w14:paraId="25B37002" w14:textId="77777777" w:rsidR="00EE2BCA" w:rsidRPr="00B01843" w:rsidRDefault="00E66090" w:rsidP="00444562">
      <w:pPr>
        <w:widowControl w:val="0"/>
        <w:spacing w:line="276" w:lineRule="auto"/>
        <w:contextualSpacing/>
        <w:rPr>
          <w:rFonts w:ascii="Arial" w:hAnsi="Arial"/>
        </w:rPr>
      </w:pPr>
      <w:r w:rsidRPr="00B01843">
        <w:rPr>
          <w:rFonts w:ascii="Arial" w:hAnsi="Arial"/>
          <w:lang w:val="es-CO"/>
        </w:rPr>
        <w:t xml:space="preserve">Esto, implicaba que </w:t>
      </w:r>
      <w:r w:rsidR="00D45AE8" w:rsidRPr="00B01843">
        <w:rPr>
          <w:rFonts w:ascii="Arial" w:hAnsi="Arial"/>
          <w:lang w:val="es-CO"/>
        </w:rPr>
        <w:t xml:space="preserve">solo se resolverían casos de privación injusta de la libertad bajo los parámetros señalados en la sentencia de unificación </w:t>
      </w:r>
      <w:r w:rsidR="00D45AE8" w:rsidRPr="00B01843">
        <w:rPr>
          <w:rFonts w:ascii="Arial" w:hAnsi="Arial"/>
        </w:rPr>
        <w:t>de 15 de agosto de 2018 presentados con posterioridad a esa fecha</w:t>
      </w:r>
      <w:r w:rsidR="00343A88" w:rsidRPr="00B01843">
        <w:rPr>
          <w:rFonts w:ascii="Arial" w:hAnsi="Arial"/>
        </w:rPr>
        <w:t xml:space="preserve">, mas no </w:t>
      </w:r>
      <w:r w:rsidRPr="00B01843">
        <w:rPr>
          <w:rFonts w:ascii="Arial" w:hAnsi="Arial"/>
        </w:rPr>
        <w:t xml:space="preserve">en aquellos </w:t>
      </w:r>
      <w:r w:rsidR="00343A88" w:rsidRPr="00B01843">
        <w:rPr>
          <w:rFonts w:ascii="Arial" w:hAnsi="Arial"/>
        </w:rPr>
        <w:t xml:space="preserve">como el que nos ocupa la atención, comoquiera que los hechos sobre los que giró en torno la controversia acontecieron mucho antes (2004-2007) cuando la responsabilidad patrimonial del Estado debía analizarse bajo un título objetivo de imputación. </w:t>
      </w:r>
    </w:p>
    <w:p w14:paraId="6FDCB751" w14:textId="77777777" w:rsidR="00EE2BCA" w:rsidRPr="00B01843" w:rsidRDefault="00EE2BCA" w:rsidP="00444562">
      <w:pPr>
        <w:widowControl w:val="0"/>
        <w:spacing w:line="276" w:lineRule="auto"/>
        <w:contextualSpacing/>
        <w:rPr>
          <w:rFonts w:ascii="Arial" w:hAnsi="Arial"/>
        </w:rPr>
      </w:pPr>
    </w:p>
    <w:p w14:paraId="0171A048" w14:textId="77777777" w:rsidR="00C96CC4" w:rsidRPr="00B01843" w:rsidRDefault="00EE2BCA" w:rsidP="00444562">
      <w:pPr>
        <w:widowControl w:val="0"/>
        <w:spacing w:line="276" w:lineRule="auto"/>
        <w:contextualSpacing/>
        <w:rPr>
          <w:rFonts w:ascii="Arial" w:hAnsi="Arial"/>
        </w:rPr>
      </w:pPr>
      <w:r w:rsidRPr="00B01843">
        <w:rPr>
          <w:rFonts w:ascii="Arial" w:hAnsi="Arial"/>
        </w:rPr>
        <w:t xml:space="preserve">Es así, como </w:t>
      </w:r>
      <w:r w:rsidR="00657CF5" w:rsidRPr="00B01843">
        <w:rPr>
          <w:rFonts w:ascii="Arial" w:hAnsi="Arial"/>
        </w:rPr>
        <w:t>citó</w:t>
      </w:r>
      <w:r w:rsidR="00C96CC4" w:rsidRPr="00B01843">
        <w:rPr>
          <w:rFonts w:ascii="Arial" w:hAnsi="Arial"/>
        </w:rPr>
        <w:t xml:space="preserve"> los siguientes apartes </w:t>
      </w:r>
      <w:r w:rsidR="00BF774B" w:rsidRPr="00B01843">
        <w:rPr>
          <w:rFonts w:ascii="Arial" w:hAnsi="Arial"/>
        </w:rPr>
        <w:t xml:space="preserve">de la providencia presuntamente desatendida: </w:t>
      </w:r>
    </w:p>
    <w:p w14:paraId="7F1E9563" w14:textId="77777777" w:rsidR="00C96CC4" w:rsidRPr="00B01843" w:rsidRDefault="00C96CC4" w:rsidP="00444562">
      <w:pPr>
        <w:widowControl w:val="0"/>
        <w:spacing w:line="276" w:lineRule="auto"/>
        <w:contextualSpacing/>
        <w:rPr>
          <w:rFonts w:ascii="Arial" w:hAnsi="Arial"/>
        </w:rPr>
      </w:pPr>
      <w:r w:rsidRPr="00B01843">
        <w:rPr>
          <w:rFonts w:ascii="Arial" w:hAnsi="Arial"/>
        </w:rPr>
        <w:t xml:space="preserve"> </w:t>
      </w:r>
    </w:p>
    <w:p w14:paraId="5355EFC0" w14:textId="77777777" w:rsidR="00C96CC4" w:rsidRPr="00B01843" w:rsidRDefault="00C96CC4" w:rsidP="003F31FE">
      <w:pPr>
        <w:ind w:left="284" w:right="276"/>
        <w:rPr>
          <w:rFonts w:ascii="Arial" w:eastAsia="Arial" w:hAnsi="Arial"/>
          <w:i/>
          <w:sz w:val="22"/>
          <w:szCs w:val="22"/>
        </w:rPr>
      </w:pPr>
      <w:r w:rsidRPr="00B01843">
        <w:rPr>
          <w:rFonts w:ascii="Arial" w:hAnsi="Arial"/>
        </w:rPr>
        <w:t>“</w:t>
      </w:r>
      <w:r w:rsidRPr="00B01843">
        <w:rPr>
          <w:rFonts w:ascii="Arial" w:eastAsia="Arial" w:hAnsi="Arial"/>
          <w:i/>
          <w:sz w:val="22"/>
          <w:szCs w:val="22"/>
        </w:rPr>
        <w:t xml:space="preserve">En efecto, la referida figura de la jurisprudencia anunciada, plasmada en la mencionada sentencia de unificación del 27 de junio de 2017 de la Sala Plena de la Sección Tercera, fue del siguiente tenor: </w:t>
      </w:r>
    </w:p>
    <w:p w14:paraId="22DB76A3" w14:textId="77777777" w:rsidR="00C96CC4" w:rsidRPr="00B01843" w:rsidRDefault="00C96CC4" w:rsidP="003F31FE">
      <w:pPr>
        <w:ind w:left="284" w:right="276"/>
        <w:rPr>
          <w:rFonts w:ascii="Arial" w:eastAsia="Arial" w:hAnsi="Arial"/>
          <w:i/>
          <w:sz w:val="22"/>
          <w:szCs w:val="22"/>
        </w:rPr>
      </w:pPr>
    </w:p>
    <w:p w14:paraId="5863158B" w14:textId="77777777" w:rsidR="00C96CC4" w:rsidRPr="00B01843" w:rsidRDefault="00C96CC4" w:rsidP="003F31FE">
      <w:pPr>
        <w:ind w:left="284" w:right="276"/>
        <w:rPr>
          <w:rFonts w:ascii="Arial" w:eastAsia="Arial" w:hAnsi="Arial"/>
          <w:b/>
          <w:bCs/>
          <w:i/>
          <w:sz w:val="22"/>
          <w:szCs w:val="22"/>
        </w:rPr>
      </w:pPr>
      <w:r w:rsidRPr="00B01843">
        <w:rPr>
          <w:rFonts w:ascii="Arial" w:eastAsia="Arial" w:hAnsi="Arial"/>
          <w:i/>
          <w:sz w:val="22"/>
          <w:szCs w:val="22"/>
        </w:rPr>
        <w:t xml:space="preserve">Ahora bien, comoquiera que esta sentencia de unificación comporta una modificación jurisprudencial que tendría efectos en la tasación y liquidación de nuevos perjuicios frente a los cuales no operó el principio de contradicción, </w:t>
      </w:r>
      <w:r w:rsidRPr="00B01843">
        <w:rPr>
          <w:rFonts w:ascii="Arial" w:eastAsia="Arial" w:hAnsi="Arial"/>
          <w:b/>
          <w:bCs/>
          <w:i/>
          <w:sz w:val="22"/>
          <w:szCs w:val="22"/>
        </w:rPr>
        <w:t xml:space="preserve">la Sala empleará la figura de la jurisprudencia anunciada y, por tal motivo, </w:t>
      </w:r>
      <w:r w:rsidRPr="00B01843">
        <w:rPr>
          <w:rFonts w:ascii="Arial" w:eastAsia="Arial" w:hAnsi="Arial"/>
          <w:b/>
          <w:bCs/>
          <w:i/>
          <w:sz w:val="22"/>
          <w:szCs w:val="22"/>
          <w:u w:val="single"/>
        </w:rPr>
        <w:t>esta alteración del precedente solo será aplicable a los procesos que se inicien con posterioridad a esta providencia,</w:t>
      </w:r>
      <w:r w:rsidRPr="00B01843">
        <w:rPr>
          <w:rFonts w:ascii="Arial" w:eastAsia="Arial" w:hAnsi="Arial"/>
          <w:b/>
          <w:bCs/>
          <w:i/>
          <w:sz w:val="22"/>
          <w:szCs w:val="22"/>
        </w:rPr>
        <w:t xml:space="preserve"> en aras de garantizar los principios constitucionales al debido proceso y a la defensa de las entidades y sujetos demandados ante esta jurisdicción.</w:t>
      </w:r>
    </w:p>
    <w:p w14:paraId="6C3E5687" w14:textId="77777777" w:rsidR="00C96CC4" w:rsidRPr="00B01843" w:rsidRDefault="00C96CC4" w:rsidP="003F31FE">
      <w:pPr>
        <w:ind w:left="284" w:right="276"/>
        <w:rPr>
          <w:rFonts w:ascii="Arial" w:eastAsia="Arial" w:hAnsi="Arial"/>
          <w:i/>
          <w:sz w:val="22"/>
          <w:szCs w:val="22"/>
        </w:rPr>
      </w:pPr>
    </w:p>
    <w:p w14:paraId="2E8A5B80" w14:textId="77777777" w:rsidR="00C96CC4" w:rsidRPr="00B01843" w:rsidRDefault="00C96CC4" w:rsidP="003F31FE">
      <w:pPr>
        <w:ind w:left="284" w:right="276"/>
        <w:rPr>
          <w:rFonts w:ascii="Arial" w:eastAsia="Arial" w:hAnsi="Arial"/>
          <w:i/>
          <w:sz w:val="22"/>
          <w:szCs w:val="22"/>
        </w:rPr>
      </w:pPr>
      <w:r w:rsidRPr="00B01843">
        <w:rPr>
          <w:rFonts w:ascii="Arial" w:eastAsia="Arial" w:hAnsi="Arial"/>
          <w:i/>
          <w:sz w:val="22"/>
          <w:szCs w:val="22"/>
        </w:rPr>
        <w:t>(...)</w:t>
      </w:r>
    </w:p>
    <w:p w14:paraId="0CE50B0E" w14:textId="77777777" w:rsidR="00C96CC4" w:rsidRPr="00B01843" w:rsidRDefault="00C96CC4" w:rsidP="003F31FE">
      <w:pPr>
        <w:ind w:left="284" w:right="276"/>
        <w:rPr>
          <w:rFonts w:ascii="Arial" w:eastAsia="Arial" w:hAnsi="Arial"/>
          <w:i/>
          <w:sz w:val="22"/>
          <w:szCs w:val="22"/>
        </w:rPr>
      </w:pPr>
    </w:p>
    <w:p w14:paraId="49E5CB7D" w14:textId="77777777" w:rsidR="00E620A3" w:rsidRPr="00B01843" w:rsidRDefault="00C96CC4" w:rsidP="00E620A3">
      <w:pPr>
        <w:ind w:left="284" w:right="276"/>
        <w:rPr>
          <w:rFonts w:ascii="Arial" w:eastAsia="Arial" w:hAnsi="Arial"/>
          <w:i/>
          <w:sz w:val="22"/>
          <w:szCs w:val="22"/>
        </w:rPr>
      </w:pPr>
      <w:r w:rsidRPr="00B01843">
        <w:rPr>
          <w:rFonts w:ascii="Arial" w:eastAsia="Arial" w:hAnsi="Arial"/>
          <w:i/>
          <w:sz w:val="22"/>
          <w:szCs w:val="22"/>
        </w:rPr>
        <w:t>En mérito de lo expuesto, el Consejo de Estado, en Sala de lo Contencioso Administrativo</w:t>
      </w:r>
      <w:r w:rsidR="003F31FE" w:rsidRPr="00B01843">
        <w:rPr>
          <w:rFonts w:ascii="Arial" w:eastAsia="Arial" w:hAnsi="Arial"/>
          <w:i/>
          <w:sz w:val="22"/>
          <w:szCs w:val="22"/>
        </w:rPr>
        <w:t xml:space="preserve">, Sección Tercera, administrando Justicia en nombre de la República y por autoridad de la ley, </w:t>
      </w:r>
    </w:p>
    <w:p w14:paraId="0FBC451E" w14:textId="77777777" w:rsidR="00E620A3" w:rsidRPr="00B01843" w:rsidRDefault="00E620A3" w:rsidP="00E620A3">
      <w:pPr>
        <w:ind w:left="284" w:right="276"/>
        <w:rPr>
          <w:rFonts w:ascii="Arial" w:eastAsia="Arial" w:hAnsi="Arial"/>
          <w:i/>
          <w:sz w:val="22"/>
          <w:szCs w:val="22"/>
        </w:rPr>
      </w:pPr>
    </w:p>
    <w:p w14:paraId="44B4470C" w14:textId="77777777" w:rsidR="003F31FE" w:rsidRPr="00B01843" w:rsidRDefault="003F31FE" w:rsidP="00E620A3">
      <w:pPr>
        <w:ind w:left="284" w:right="276"/>
        <w:jc w:val="center"/>
        <w:rPr>
          <w:rFonts w:ascii="Arial" w:eastAsia="Arial" w:hAnsi="Arial"/>
          <w:i/>
          <w:sz w:val="22"/>
          <w:szCs w:val="22"/>
        </w:rPr>
      </w:pPr>
      <w:r w:rsidRPr="00B01843">
        <w:rPr>
          <w:rFonts w:ascii="Arial" w:eastAsia="Arial" w:hAnsi="Arial"/>
          <w:b/>
          <w:bCs/>
          <w:i/>
          <w:sz w:val="22"/>
          <w:szCs w:val="22"/>
        </w:rPr>
        <w:t>FALLA:</w:t>
      </w:r>
    </w:p>
    <w:p w14:paraId="53166536" w14:textId="77777777" w:rsidR="003F31FE" w:rsidRPr="00B01843" w:rsidRDefault="003F31FE" w:rsidP="003F31FE">
      <w:pPr>
        <w:ind w:left="284" w:right="276"/>
        <w:rPr>
          <w:rFonts w:ascii="Arial" w:eastAsia="Arial" w:hAnsi="Arial"/>
          <w:i/>
          <w:sz w:val="22"/>
          <w:szCs w:val="22"/>
        </w:rPr>
      </w:pPr>
    </w:p>
    <w:p w14:paraId="1D3597E5" w14:textId="77777777" w:rsidR="003F31FE" w:rsidRPr="00B01843" w:rsidRDefault="003F31FE" w:rsidP="003F31FE">
      <w:pPr>
        <w:ind w:left="284" w:right="276"/>
        <w:rPr>
          <w:rFonts w:ascii="Arial" w:eastAsia="Arial" w:hAnsi="Arial"/>
          <w:i/>
          <w:sz w:val="22"/>
          <w:szCs w:val="22"/>
        </w:rPr>
      </w:pPr>
      <w:r w:rsidRPr="00B01843">
        <w:rPr>
          <w:rFonts w:ascii="Arial" w:eastAsia="Arial" w:hAnsi="Arial"/>
          <w:b/>
          <w:bCs/>
          <w:i/>
          <w:sz w:val="22"/>
          <w:szCs w:val="22"/>
        </w:rPr>
        <w:t>PRIMERO. UNIFICAR LA JURISPRUDENCIA</w:t>
      </w:r>
      <w:r w:rsidRPr="00B01843">
        <w:rPr>
          <w:rFonts w:ascii="Arial" w:eastAsia="Arial" w:hAnsi="Arial"/>
          <w:i/>
          <w:sz w:val="22"/>
          <w:szCs w:val="22"/>
        </w:rPr>
        <w:t xml:space="preserve"> en relación con los perjuicios indemnizables tratándose de daños por muerte o lesiones psicofísicas superiores al 50%, sufridas por personas que desarrollaban las labores de economía y cuidado del hogar, según lo señalado en la parte motiva de esta providencia. </w:t>
      </w:r>
    </w:p>
    <w:p w14:paraId="2C10E66A" w14:textId="77777777" w:rsidR="003F31FE" w:rsidRPr="00B01843" w:rsidRDefault="003F31FE" w:rsidP="003F31FE">
      <w:pPr>
        <w:ind w:left="284" w:right="276"/>
        <w:rPr>
          <w:rFonts w:ascii="Arial" w:eastAsia="Arial" w:hAnsi="Arial"/>
          <w:i/>
          <w:sz w:val="22"/>
          <w:szCs w:val="22"/>
        </w:rPr>
      </w:pPr>
    </w:p>
    <w:p w14:paraId="1F642928" w14:textId="77777777" w:rsidR="00C96CC4" w:rsidRPr="00B01843" w:rsidRDefault="003F31FE" w:rsidP="003F31FE">
      <w:pPr>
        <w:ind w:left="284" w:right="276"/>
        <w:rPr>
          <w:rFonts w:ascii="Arial" w:eastAsia="Arial" w:hAnsi="Arial"/>
          <w:i/>
          <w:sz w:val="22"/>
          <w:szCs w:val="22"/>
        </w:rPr>
      </w:pPr>
      <w:r w:rsidRPr="00B01843">
        <w:rPr>
          <w:rFonts w:ascii="Arial" w:eastAsia="Arial" w:hAnsi="Arial"/>
          <w:b/>
          <w:bCs/>
          <w:i/>
          <w:sz w:val="22"/>
          <w:szCs w:val="22"/>
        </w:rPr>
        <w:t>SEGUNDO. MODULAR</w:t>
      </w:r>
      <w:r w:rsidRPr="00B01843">
        <w:rPr>
          <w:rFonts w:ascii="Arial" w:eastAsia="Arial" w:hAnsi="Arial"/>
          <w:i/>
          <w:sz w:val="22"/>
          <w:szCs w:val="22"/>
        </w:rPr>
        <w:t xml:space="preserve"> los efectos del cambio jurisprudencial contenido en esta sentencia, de conformidad con la parte motiva de esta providencia.” </w:t>
      </w:r>
      <w:r w:rsidRPr="00B01843">
        <w:rPr>
          <w:rFonts w:ascii="Arial" w:eastAsia="Arial" w:hAnsi="Arial"/>
          <w:iCs/>
        </w:rPr>
        <w:t xml:space="preserve"> </w:t>
      </w:r>
      <w:r w:rsidR="00863D65" w:rsidRPr="00B01843">
        <w:rPr>
          <w:rFonts w:ascii="Arial" w:eastAsia="Arial" w:hAnsi="Arial"/>
          <w:iCs/>
        </w:rPr>
        <w:t>(Destacado de la Sala)</w:t>
      </w:r>
    </w:p>
    <w:p w14:paraId="608BA34B" w14:textId="77777777" w:rsidR="00447F44" w:rsidRPr="00B01843" w:rsidRDefault="00447F44" w:rsidP="00444562">
      <w:pPr>
        <w:widowControl w:val="0"/>
        <w:spacing w:line="276" w:lineRule="auto"/>
        <w:contextualSpacing/>
        <w:rPr>
          <w:rFonts w:ascii="Arial" w:hAnsi="Arial"/>
        </w:rPr>
      </w:pPr>
    </w:p>
    <w:p w14:paraId="68046430" w14:textId="77777777" w:rsidR="004A7262" w:rsidRPr="00B01843" w:rsidRDefault="004A7262" w:rsidP="000E5FAA">
      <w:pPr>
        <w:widowControl w:val="0"/>
        <w:spacing w:line="276" w:lineRule="auto"/>
        <w:contextualSpacing/>
        <w:rPr>
          <w:rFonts w:ascii="Arial" w:hAnsi="Arial"/>
          <w:color w:val="000000" w:themeColor="text1"/>
        </w:rPr>
      </w:pPr>
      <w:r w:rsidRPr="00B01843">
        <w:rPr>
          <w:rFonts w:ascii="Arial" w:hAnsi="Arial"/>
        </w:rPr>
        <w:t xml:space="preserve">Ahora bien, es de anotar que en </w:t>
      </w:r>
      <w:r w:rsidRPr="00B01843">
        <w:rPr>
          <w:rFonts w:ascii="Arial" w:hAnsi="Arial"/>
          <w:color w:val="000000" w:themeColor="text1"/>
        </w:rPr>
        <w:t xml:space="preserve">la </w:t>
      </w:r>
      <w:r w:rsidRPr="00B01843">
        <w:rPr>
          <w:rFonts w:ascii="Arial" w:hAnsi="Arial"/>
        </w:rPr>
        <w:t>sentencia de unificación proferida el 27 de junio de 2017</w:t>
      </w:r>
      <w:r w:rsidRPr="00B01843">
        <w:rPr>
          <w:rFonts w:ascii="Arial" w:hAnsi="Arial"/>
          <w:color w:val="000000" w:themeColor="text1"/>
        </w:rPr>
        <w:t xml:space="preserve"> se discutió el caso de una señora que se desempeñaba como ama de casa y falleció por un accidente de tránsito imputable en un 50% al Estado, dado que la </w:t>
      </w:r>
      <w:r w:rsidRPr="00B01843">
        <w:rPr>
          <w:rFonts w:ascii="Arial" w:hAnsi="Arial"/>
          <w:color w:val="000000" w:themeColor="text1"/>
          <w:lang w:val="es-CO"/>
        </w:rPr>
        <w:t xml:space="preserve">víctima concurrió en culpa al no usar casco de protección, en la cual </w:t>
      </w:r>
      <w:r w:rsidRPr="00B01843">
        <w:rPr>
          <w:rFonts w:ascii="Arial" w:hAnsi="Arial"/>
          <w:color w:val="000000" w:themeColor="text1"/>
        </w:rPr>
        <w:t xml:space="preserve">la Sala Plena </w:t>
      </w:r>
      <w:r w:rsidRPr="00B01843">
        <w:rPr>
          <w:rFonts w:ascii="Arial" w:hAnsi="Arial"/>
          <w:color w:val="000000" w:themeColor="text1"/>
        </w:rPr>
        <w:lastRenderedPageBreak/>
        <w:t xml:space="preserve">del Consejo de Estado unificó los criterios respecto de la tipología patrimonial a reconocer por los perjuicios ocasionados por muerte de personas encargadas de la economía y cuidado del hogar; además, refirió que se </w:t>
      </w:r>
      <w:r w:rsidRPr="00B01843">
        <w:rPr>
          <w:rFonts w:ascii="Arial" w:eastAsia="Arial" w:hAnsi="Arial"/>
          <w:iCs/>
        </w:rPr>
        <w:t xml:space="preserve">emplearía la figura de la jurisprudencia anunciada para modular los efectos del cambio jurisprudencial contenido allí. </w:t>
      </w:r>
    </w:p>
    <w:p w14:paraId="0B846D84" w14:textId="77777777" w:rsidR="004A7262" w:rsidRPr="00B01843" w:rsidRDefault="004A7262" w:rsidP="000E5FAA">
      <w:pPr>
        <w:widowControl w:val="0"/>
        <w:spacing w:line="276" w:lineRule="auto"/>
        <w:contextualSpacing/>
        <w:rPr>
          <w:rFonts w:ascii="Arial" w:hAnsi="Arial"/>
          <w:color w:val="000000" w:themeColor="text1"/>
        </w:rPr>
      </w:pPr>
    </w:p>
    <w:p w14:paraId="726A1FE4" w14:textId="661DBBF2" w:rsidR="002C3416" w:rsidRPr="00B01843" w:rsidRDefault="004A7262" w:rsidP="00E3458E">
      <w:pPr>
        <w:widowControl w:val="0"/>
        <w:spacing w:line="276" w:lineRule="auto"/>
        <w:contextualSpacing/>
        <w:rPr>
          <w:rFonts w:ascii="Arial" w:hAnsi="Arial"/>
          <w:lang w:val="es-CO"/>
        </w:rPr>
      </w:pPr>
      <w:r w:rsidRPr="00B01843">
        <w:rPr>
          <w:rFonts w:ascii="Arial" w:hAnsi="Arial"/>
        </w:rPr>
        <w:t xml:space="preserve">De modo que </w:t>
      </w:r>
      <w:r w:rsidR="00BC7EAB" w:rsidRPr="00B01843">
        <w:rPr>
          <w:rFonts w:ascii="Arial" w:hAnsi="Arial"/>
        </w:rPr>
        <w:t>no le asiste razón</w:t>
      </w:r>
      <w:r w:rsidR="004A48B3" w:rsidRPr="00B01843">
        <w:rPr>
          <w:rFonts w:ascii="Arial" w:hAnsi="Arial"/>
        </w:rPr>
        <w:t xml:space="preserve"> a la parte actora</w:t>
      </w:r>
      <w:r w:rsidR="00BC7EAB" w:rsidRPr="00B01843">
        <w:rPr>
          <w:rFonts w:ascii="Arial" w:hAnsi="Arial"/>
        </w:rPr>
        <w:t xml:space="preserve"> al considerar que </w:t>
      </w:r>
      <w:r w:rsidR="000E2C7D" w:rsidRPr="00B01843">
        <w:rPr>
          <w:rFonts w:ascii="Arial" w:hAnsi="Arial"/>
        </w:rPr>
        <w:t xml:space="preserve">la autoridad judicial enjuiciada </w:t>
      </w:r>
      <w:r w:rsidR="00BC7EAB" w:rsidRPr="00B01843">
        <w:rPr>
          <w:rFonts w:ascii="Arial" w:hAnsi="Arial"/>
        </w:rPr>
        <w:t xml:space="preserve">desconoció la regla señalada </w:t>
      </w:r>
      <w:r w:rsidR="00C81EEF" w:rsidRPr="00B01843">
        <w:rPr>
          <w:rFonts w:ascii="Arial" w:hAnsi="Arial"/>
        </w:rPr>
        <w:t xml:space="preserve">en la sentencia </w:t>
      </w:r>
      <w:r w:rsidR="00BC7EAB" w:rsidRPr="00B01843">
        <w:rPr>
          <w:rFonts w:ascii="Arial" w:hAnsi="Arial"/>
        </w:rPr>
        <w:t xml:space="preserve">de unificación </w:t>
      </w:r>
      <w:r w:rsidR="00C81EEF" w:rsidRPr="00B01843">
        <w:rPr>
          <w:rFonts w:ascii="Arial" w:hAnsi="Arial"/>
        </w:rPr>
        <w:t>de 27 de junio de 2017,</w:t>
      </w:r>
      <w:r w:rsidR="00050B0B" w:rsidRPr="00B01843">
        <w:rPr>
          <w:rFonts w:ascii="Arial" w:hAnsi="Arial"/>
        </w:rPr>
        <w:t xml:space="preserve"> </w:t>
      </w:r>
      <w:r w:rsidR="002C3416" w:rsidRPr="00B01843">
        <w:rPr>
          <w:rFonts w:ascii="Arial" w:hAnsi="Arial"/>
        </w:rPr>
        <w:t xml:space="preserve">pues </w:t>
      </w:r>
      <w:r w:rsidR="002C3416" w:rsidRPr="00B01843">
        <w:rPr>
          <w:rFonts w:ascii="Arial" w:hAnsi="Arial"/>
          <w:lang w:val="es-CO"/>
        </w:rPr>
        <w:t xml:space="preserve">la controversia que resolvió la Sala Plena de la Sección Tercera de esta Corporación en esa oportunidad difiere de la analizada en el proveído cuestionado, comoquiera que no se está frente </w:t>
      </w:r>
      <w:r w:rsidR="00115B5E" w:rsidRPr="00B01843">
        <w:rPr>
          <w:rFonts w:ascii="Arial" w:hAnsi="Arial"/>
          <w:lang w:val="es-CO"/>
        </w:rPr>
        <w:t xml:space="preserve">a un prececente </w:t>
      </w:r>
      <w:r w:rsidR="002C3416" w:rsidRPr="00B01843">
        <w:rPr>
          <w:rFonts w:ascii="Arial" w:hAnsi="Arial"/>
          <w:lang w:val="es-CO"/>
        </w:rPr>
        <w:t>que trate sobre la responsabilidad patrimonial del Estado derivada de la privación injusta de la libertad</w:t>
      </w:r>
      <w:r w:rsidR="004078BB" w:rsidRPr="00B01843">
        <w:rPr>
          <w:rFonts w:ascii="Arial" w:hAnsi="Arial"/>
          <w:lang w:val="es-CO"/>
        </w:rPr>
        <w:t xml:space="preserve">. </w:t>
      </w:r>
      <w:r w:rsidR="003C5E7B" w:rsidRPr="00B01843">
        <w:rPr>
          <w:rFonts w:ascii="Arial" w:hAnsi="Arial"/>
          <w:lang w:val="es-CO"/>
        </w:rPr>
        <w:t xml:space="preserve"> </w:t>
      </w:r>
    </w:p>
    <w:p w14:paraId="6C565DD8" w14:textId="77777777" w:rsidR="002C3416" w:rsidRPr="00B01843" w:rsidRDefault="002C3416" w:rsidP="00E3458E">
      <w:pPr>
        <w:widowControl w:val="0"/>
        <w:spacing w:line="276" w:lineRule="auto"/>
        <w:contextualSpacing/>
        <w:rPr>
          <w:rFonts w:ascii="Arial" w:hAnsi="Arial"/>
          <w:lang w:val="es-CO"/>
        </w:rPr>
      </w:pPr>
    </w:p>
    <w:p w14:paraId="485B1696" w14:textId="77777777" w:rsidR="004078BB" w:rsidRPr="00B01843" w:rsidRDefault="002C3416" w:rsidP="002C3416">
      <w:pPr>
        <w:widowControl w:val="0"/>
        <w:spacing w:line="276" w:lineRule="auto"/>
        <w:contextualSpacing/>
        <w:rPr>
          <w:rFonts w:ascii="Arial" w:eastAsia="Arial" w:hAnsi="Arial"/>
        </w:rPr>
      </w:pPr>
      <w:r w:rsidRPr="00B01843">
        <w:rPr>
          <w:rFonts w:ascii="Arial" w:eastAsia="Arial" w:hAnsi="Arial"/>
          <w:iCs/>
        </w:rPr>
        <w:t>Además,</w:t>
      </w:r>
      <w:r w:rsidRPr="00B01843">
        <w:rPr>
          <w:rFonts w:ascii="Arial" w:eastAsia="Arial" w:hAnsi="Arial"/>
          <w:i/>
        </w:rPr>
        <w:t xml:space="preserve"> </w:t>
      </w:r>
      <w:r w:rsidRPr="00B01843">
        <w:rPr>
          <w:rFonts w:ascii="Arial" w:hAnsi="Arial"/>
          <w:lang w:val="es-CO"/>
        </w:rPr>
        <w:t xml:space="preserve">en dicho pronunciamiento </w:t>
      </w:r>
      <w:r w:rsidRPr="00B01843">
        <w:rPr>
          <w:rFonts w:ascii="Arial" w:hAnsi="Arial"/>
        </w:rPr>
        <w:t>se señaló de manera clara que</w:t>
      </w:r>
      <w:r w:rsidR="003C5E7B" w:rsidRPr="00B01843">
        <w:rPr>
          <w:rFonts w:ascii="Arial" w:hAnsi="Arial"/>
        </w:rPr>
        <w:t xml:space="preserve"> se </w:t>
      </w:r>
      <w:r w:rsidR="003C5E7B" w:rsidRPr="00B01843">
        <w:rPr>
          <w:rFonts w:ascii="Arial" w:eastAsia="Arial" w:hAnsi="Arial"/>
        </w:rPr>
        <w:t>emplearía la</w:t>
      </w:r>
      <w:r w:rsidR="00B62FDF" w:rsidRPr="00B01843">
        <w:rPr>
          <w:rFonts w:ascii="Arial" w:eastAsia="Arial" w:hAnsi="Arial"/>
        </w:rPr>
        <w:t xml:space="preserve"> figura de la </w:t>
      </w:r>
      <w:r w:rsidR="003C5E7B" w:rsidRPr="00B01843">
        <w:rPr>
          <w:rFonts w:ascii="Arial" w:eastAsia="Arial" w:hAnsi="Arial"/>
        </w:rPr>
        <w:t>jurisprudencia</w:t>
      </w:r>
      <w:r w:rsidR="00A43DC9" w:rsidRPr="00B01843">
        <w:rPr>
          <w:rFonts w:ascii="Arial" w:eastAsia="Arial" w:hAnsi="Arial"/>
        </w:rPr>
        <w:t xml:space="preserve"> </w:t>
      </w:r>
      <w:r w:rsidR="003C5E7B" w:rsidRPr="00B01843">
        <w:rPr>
          <w:rFonts w:ascii="Arial" w:eastAsia="Arial" w:hAnsi="Arial"/>
        </w:rPr>
        <w:t>anunciada</w:t>
      </w:r>
      <w:r w:rsidR="00A43DC9" w:rsidRPr="00B01843">
        <w:rPr>
          <w:rFonts w:ascii="Arial" w:eastAsia="Arial" w:hAnsi="Arial"/>
        </w:rPr>
        <w:t xml:space="preserve"> para </w:t>
      </w:r>
      <w:r w:rsidR="00A43DC9" w:rsidRPr="00B01843">
        <w:rPr>
          <w:rFonts w:ascii="Arial" w:eastAsia="Arial" w:hAnsi="Arial"/>
          <w:iCs/>
        </w:rPr>
        <w:t>modular los efectos del cambio jurisprudencial</w:t>
      </w:r>
      <w:r w:rsidR="00B62FDF" w:rsidRPr="00B01843">
        <w:rPr>
          <w:rFonts w:ascii="Arial" w:eastAsia="Arial" w:hAnsi="Arial"/>
          <w:iCs/>
        </w:rPr>
        <w:t xml:space="preserve"> fijado </w:t>
      </w:r>
      <w:r w:rsidR="00A43DC9" w:rsidRPr="00B01843">
        <w:rPr>
          <w:rFonts w:ascii="Arial" w:eastAsia="Arial" w:hAnsi="Arial"/>
          <w:iCs/>
        </w:rPr>
        <w:t xml:space="preserve">en esa sentencia, pues tendría </w:t>
      </w:r>
      <w:r w:rsidR="003C5E7B" w:rsidRPr="00B01843">
        <w:rPr>
          <w:rFonts w:ascii="Arial" w:eastAsia="Arial" w:hAnsi="Arial"/>
        </w:rPr>
        <w:t xml:space="preserve">efectos en </w:t>
      </w:r>
      <w:r w:rsidR="003C5E7B" w:rsidRPr="00B01843">
        <w:rPr>
          <w:rFonts w:ascii="Arial" w:eastAsia="Arial" w:hAnsi="Arial"/>
          <w:i/>
          <w:iCs/>
        </w:rPr>
        <w:t>“la tasación y liquidación de nuevos perjuicios</w:t>
      </w:r>
      <w:r w:rsidR="003C5E7B" w:rsidRPr="00B01843">
        <w:rPr>
          <w:rFonts w:ascii="Arial" w:hAnsi="Arial"/>
          <w:i/>
          <w:iCs/>
          <w:lang w:val="es-CO"/>
        </w:rPr>
        <w:t xml:space="preserve"> </w:t>
      </w:r>
      <w:r w:rsidR="003C5E7B" w:rsidRPr="00B01843">
        <w:rPr>
          <w:rFonts w:ascii="Arial" w:eastAsia="Arial" w:hAnsi="Arial"/>
          <w:i/>
          <w:iCs/>
        </w:rPr>
        <w:t>frente a los cuales no operó el principio de contradicción”</w:t>
      </w:r>
      <w:r w:rsidR="004078BB" w:rsidRPr="00B01843">
        <w:rPr>
          <w:rFonts w:ascii="Arial" w:eastAsia="Arial" w:hAnsi="Arial"/>
          <w:i/>
          <w:iCs/>
        </w:rPr>
        <w:t>,</w:t>
      </w:r>
      <w:r w:rsidR="00A43DC9" w:rsidRPr="00B01843">
        <w:rPr>
          <w:rFonts w:ascii="Arial" w:eastAsia="Arial" w:hAnsi="Arial"/>
          <w:i/>
          <w:iCs/>
        </w:rPr>
        <w:t xml:space="preserve"> </w:t>
      </w:r>
      <w:r w:rsidR="00A43DC9" w:rsidRPr="00B01843">
        <w:rPr>
          <w:rFonts w:ascii="Arial" w:eastAsia="Arial" w:hAnsi="Arial"/>
        </w:rPr>
        <w:t xml:space="preserve">lo que no </w:t>
      </w:r>
      <w:r w:rsidR="000B03FE" w:rsidRPr="00B01843">
        <w:rPr>
          <w:rFonts w:ascii="Arial" w:eastAsia="Arial" w:hAnsi="Arial"/>
        </w:rPr>
        <w:t xml:space="preserve">se hizo extensivo </w:t>
      </w:r>
      <w:r w:rsidR="00B62FDF" w:rsidRPr="00B01843">
        <w:rPr>
          <w:rFonts w:ascii="Arial" w:eastAsia="Arial" w:hAnsi="Arial"/>
        </w:rPr>
        <w:t xml:space="preserve">para </w:t>
      </w:r>
      <w:r w:rsidR="00EC5E51" w:rsidRPr="00B01843">
        <w:rPr>
          <w:rFonts w:ascii="Arial" w:eastAsia="Arial" w:hAnsi="Arial"/>
        </w:rPr>
        <w:t xml:space="preserve">casos </w:t>
      </w:r>
      <w:r w:rsidR="00B62FDF" w:rsidRPr="00B01843">
        <w:rPr>
          <w:rFonts w:ascii="Arial" w:eastAsia="Arial" w:hAnsi="Arial"/>
        </w:rPr>
        <w:t xml:space="preserve">como el que nos ocupa la atención. </w:t>
      </w:r>
    </w:p>
    <w:p w14:paraId="697E60B7" w14:textId="77777777" w:rsidR="002C3416" w:rsidRPr="00B01843" w:rsidRDefault="002C3416" w:rsidP="002C3416">
      <w:pPr>
        <w:widowControl w:val="0"/>
        <w:spacing w:line="276" w:lineRule="auto"/>
        <w:contextualSpacing/>
        <w:rPr>
          <w:rFonts w:ascii="Arial" w:hAnsi="Arial"/>
        </w:rPr>
      </w:pPr>
    </w:p>
    <w:p w14:paraId="30513FB9" w14:textId="77777777" w:rsidR="00BF63E4" w:rsidRPr="00B01843" w:rsidRDefault="004A48B3" w:rsidP="003C5E7B">
      <w:pPr>
        <w:widowControl w:val="0"/>
        <w:autoSpaceDE w:val="0"/>
        <w:autoSpaceDN w:val="0"/>
        <w:adjustRightInd w:val="0"/>
        <w:spacing w:line="276" w:lineRule="auto"/>
        <w:rPr>
          <w:rFonts w:ascii="Arial" w:hAnsi="Arial"/>
        </w:rPr>
      </w:pPr>
      <w:r w:rsidRPr="00B01843">
        <w:rPr>
          <w:rFonts w:ascii="Arial" w:eastAsia="Arial" w:hAnsi="Arial"/>
        </w:rPr>
        <w:t>Quiere ello decir que</w:t>
      </w:r>
      <w:r w:rsidR="00B20DDF" w:rsidRPr="00B01843">
        <w:rPr>
          <w:rFonts w:ascii="Arial" w:eastAsia="Arial" w:hAnsi="Arial"/>
        </w:rPr>
        <w:t>,</w:t>
      </w:r>
      <w:r w:rsidR="008F7F7C" w:rsidRPr="00B01843">
        <w:rPr>
          <w:rFonts w:ascii="Arial" w:eastAsia="Arial" w:hAnsi="Arial"/>
        </w:rPr>
        <w:t xml:space="preserve"> </w:t>
      </w:r>
      <w:r w:rsidR="00B20DDF" w:rsidRPr="00B01843">
        <w:rPr>
          <w:rFonts w:ascii="Arial" w:hAnsi="Arial"/>
        </w:rPr>
        <w:t xml:space="preserve">este cargo </w:t>
      </w:r>
      <w:r w:rsidR="00A577CE" w:rsidRPr="00B01843">
        <w:rPr>
          <w:rFonts w:ascii="Arial" w:hAnsi="Arial"/>
        </w:rPr>
        <w:t xml:space="preserve">no tiene vocación de prosperidad </w:t>
      </w:r>
      <w:r w:rsidR="00CE5D16" w:rsidRPr="00B01843">
        <w:rPr>
          <w:rFonts w:ascii="Arial" w:hAnsi="Arial"/>
        </w:rPr>
        <w:t>comoquiera</w:t>
      </w:r>
      <w:r w:rsidR="008F7F7C" w:rsidRPr="00B01843">
        <w:rPr>
          <w:rFonts w:ascii="Arial" w:hAnsi="Arial"/>
        </w:rPr>
        <w:t xml:space="preserve"> que la autoridad </w:t>
      </w:r>
      <w:r w:rsidR="008F7F7C" w:rsidRPr="00B01843">
        <w:rPr>
          <w:rFonts w:ascii="Arial" w:eastAsia="Century Gothic" w:hAnsi="Arial"/>
          <w:spacing w:val="4"/>
          <w:lang w:eastAsia="es-CO"/>
        </w:rPr>
        <w:t>en cuestión no incurrió en la irregularidad planteada por la parte actora</w:t>
      </w:r>
      <w:r w:rsidR="00A25ECE" w:rsidRPr="00B01843">
        <w:rPr>
          <w:rFonts w:ascii="Arial" w:eastAsia="Century Gothic" w:hAnsi="Arial"/>
          <w:spacing w:val="4"/>
          <w:lang w:eastAsia="es-CO"/>
        </w:rPr>
        <w:t xml:space="preserve">, </w:t>
      </w:r>
      <w:r w:rsidR="008F7F7C" w:rsidRPr="00B01843">
        <w:rPr>
          <w:rFonts w:ascii="Arial" w:eastAsia="Century Gothic" w:hAnsi="Arial"/>
          <w:spacing w:val="4"/>
          <w:lang w:eastAsia="es-CO"/>
        </w:rPr>
        <w:t xml:space="preserve">en atención a que </w:t>
      </w:r>
      <w:r w:rsidR="008F7F7C" w:rsidRPr="00B01843">
        <w:rPr>
          <w:rFonts w:ascii="Arial" w:hAnsi="Arial"/>
        </w:rPr>
        <w:t xml:space="preserve">la </w:t>
      </w:r>
      <w:r w:rsidR="00B20DDF" w:rsidRPr="00B01843">
        <w:rPr>
          <w:rFonts w:ascii="Arial" w:hAnsi="Arial"/>
        </w:rPr>
        <w:t xml:space="preserve">sentencia de unificación de 27 de junio de 2017 </w:t>
      </w:r>
      <w:r w:rsidR="00A577CE" w:rsidRPr="00B01843">
        <w:rPr>
          <w:rFonts w:ascii="Arial" w:hAnsi="Arial"/>
        </w:rPr>
        <w:t xml:space="preserve">no constituye un </w:t>
      </w:r>
      <w:r w:rsidRPr="00B01843">
        <w:rPr>
          <w:rFonts w:ascii="Arial" w:eastAsia="Arial" w:hAnsi="Arial"/>
        </w:rPr>
        <w:t>precedente</w:t>
      </w:r>
      <w:r w:rsidR="00A577CE" w:rsidRPr="00B01843">
        <w:rPr>
          <w:rFonts w:ascii="Arial" w:eastAsia="Arial" w:hAnsi="Arial"/>
        </w:rPr>
        <w:t xml:space="preserve"> vinculante </w:t>
      </w:r>
      <w:r w:rsidRPr="00B01843">
        <w:rPr>
          <w:rFonts w:ascii="Arial" w:eastAsia="Arial" w:hAnsi="Arial"/>
        </w:rPr>
        <w:t>para el asunto bajo estudio</w:t>
      </w:r>
      <w:r w:rsidR="00A25ECE" w:rsidRPr="00B01843">
        <w:rPr>
          <w:rFonts w:ascii="Arial" w:eastAsia="Arial" w:hAnsi="Arial"/>
        </w:rPr>
        <w:t xml:space="preserve"> que, a la vez, permita colegir que incurrió en el defecto por </w:t>
      </w:r>
      <w:r w:rsidR="00A25ECE" w:rsidRPr="00B01843">
        <w:rPr>
          <w:rFonts w:ascii="Arial" w:eastAsia="Times New Roman" w:hAnsi="Arial"/>
          <w:color w:val="000000" w:themeColor="text1"/>
          <w:shd w:val="clear" w:color="auto" w:fill="FFFFFF"/>
          <w:lang w:val="es-CO" w:eastAsia="es-ES_tradnl"/>
        </w:rPr>
        <w:t>violación directa de la Constitución planteado.</w:t>
      </w:r>
    </w:p>
    <w:p w14:paraId="38065D9F" w14:textId="77777777" w:rsidR="002D0B15" w:rsidRPr="00B01843" w:rsidRDefault="002D0B15" w:rsidP="00D11B9E">
      <w:pPr>
        <w:widowControl w:val="0"/>
        <w:spacing w:line="276" w:lineRule="auto"/>
        <w:contextualSpacing/>
        <w:rPr>
          <w:rFonts w:ascii="Arial" w:eastAsia="Times New Roman" w:hAnsi="Arial"/>
          <w:color w:val="000000" w:themeColor="text1"/>
          <w:shd w:val="clear" w:color="auto" w:fill="FFFFFF"/>
          <w:lang w:val="es-CO" w:eastAsia="es-ES_tradnl"/>
        </w:rPr>
      </w:pPr>
    </w:p>
    <w:p w14:paraId="67426630" w14:textId="12A08638" w:rsidR="002D0B15" w:rsidRPr="00B01843" w:rsidRDefault="002D0B15" w:rsidP="00D11B9E">
      <w:pPr>
        <w:widowControl w:val="0"/>
        <w:spacing w:line="276" w:lineRule="auto"/>
        <w:contextualSpacing/>
        <w:rPr>
          <w:rFonts w:ascii="Arial" w:hAnsi="Arial"/>
          <w:iCs/>
        </w:rPr>
      </w:pPr>
      <w:r w:rsidRPr="00B01843">
        <w:rPr>
          <w:rFonts w:ascii="Arial" w:hAnsi="Arial"/>
        </w:rPr>
        <w:t xml:space="preserve">Para finalizar, se advierte que no es acertado lo pretendido por los accionantes en torno a que se </w:t>
      </w:r>
      <w:r w:rsidRPr="00B01843">
        <w:rPr>
          <w:rFonts w:ascii="Arial" w:hAnsi="Arial"/>
          <w:iCs/>
        </w:rPr>
        <w:t xml:space="preserve">ordene a la colegiatura tutelada proferir un fallo de reemplazo en el que valore la culpa de las víctimas frente al eximente de responsabilidad propuesto por </w:t>
      </w:r>
      <w:r w:rsidR="00035F76" w:rsidRPr="00B01843">
        <w:rPr>
          <w:rFonts w:ascii="Arial" w:hAnsi="Arial"/>
          <w:iCs/>
        </w:rPr>
        <w:t xml:space="preserve">la </w:t>
      </w:r>
      <w:r w:rsidRPr="00B01843">
        <w:rPr>
          <w:rFonts w:ascii="Arial" w:hAnsi="Arial"/>
          <w:iCs/>
        </w:rPr>
        <w:t>Fiscalía General de la Nación</w:t>
      </w:r>
      <w:r w:rsidR="00035F76" w:rsidRPr="00B01843">
        <w:rPr>
          <w:rFonts w:ascii="Arial" w:hAnsi="Arial"/>
          <w:iCs/>
        </w:rPr>
        <w:t>,</w:t>
      </w:r>
      <w:r w:rsidRPr="00B01843">
        <w:rPr>
          <w:rFonts w:ascii="Arial" w:hAnsi="Arial"/>
          <w:iCs/>
        </w:rPr>
        <w:t xml:space="preserve"> que denominó culpa exclusiva de un tercero,</w:t>
      </w:r>
      <w:r w:rsidRPr="00B01843">
        <w:rPr>
          <w:rFonts w:ascii="Arial" w:hAnsi="Arial"/>
          <w:b/>
          <w:bCs/>
          <w:i/>
        </w:rPr>
        <w:t xml:space="preserve"> </w:t>
      </w:r>
      <w:r w:rsidRPr="00B01843">
        <w:rPr>
          <w:rFonts w:ascii="Arial" w:hAnsi="Arial"/>
          <w:i/>
        </w:rPr>
        <w:t>“con los parámetros establecidos en la sentencia de unificación de la misma corporación del 15 de agosto de 2018..., situación que comporta un defecto de orden fáctico, ya que dicho análisis no se verificó.”</w:t>
      </w:r>
    </w:p>
    <w:p w14:paraId="79573FF0" w14:textId="77777777" w:rsidR="002D0B15" w:rsidRPr="00B01843" w:rsidRDefault="002D0B15" w:rsidP="00D11B9E">
      <w:pPr>
        <w:widowControl w:val="0"/>
        <w:spacing w:line="276" w:lineRule="auto"/>
        <w:contextualSpacing/>
        <w:rPr>
          <w:rFonts w:ascii="Arial" w:hAnsi="Arial"/>
          <w:i/>
        </w:rPr>
      </w:pPr>
    </w:p>
    <w:p w14:paraId="10529205" w14:textId="214453AB" w:rsidR="00115B5E" w:rsidRPr="00B01843" w:rsidRDefault="00DE7B81" w:rsidP="00115B5E">
      <w:pPr>
        <w:spacing w:line="276" w:lineRule="auto"/>
        <w:ind w:right="-8"/>
        <w:rPr>
          <w:rFonts w:ascii="Arial" w:hAnsi="Arial"/>
          <w:bCs/>
        </w:rPr>
      </w:pPr>
      <w:r>
        <w:rPr>
          <w:rFonts w:ascii="Arial" w:hAnsi="Arial"/>
          <w:iCs/>
        </w:rPr>
        <w:t>Lo anterior</w:t>
      </w:r>
      <w:r w:rsidR="002D0B15" w:rsidRPr="00B01843">
        <w:rPr>
          <w:rFonts w:ascii="Arial" w:hAnsi="Arial"/>
          <w:iCs/>
        </w:rPr>
        <w:t xml:space="preserve">, en atención a que la autoridad enjuiciada en la contestación de la tutela, explicó que solo sería viable que se realizara </w:t>
      </w:r>
      <w:r w:rsidR="002D0B15" w:rsidRPr="00B01843">
        <w:rPr>
          <w:rFonts w:ascii="Arial" w:hAnsi="Arial"/>
        </w:rPr>
        <w:t xml:space="preserve">un análisis del juicio de imputación en el evento en que se hubiera encontrado </w:t>
      </w:r>
      <w:r w:rsidR="002D0B15" w:rsidRPr="00B01843">
        <w:rPr>
          <w:rFonts w:ascii="Arial" w:hAnsi="Arial"/>
          <w:bCs/>
        </w:rPr>
        <w:t xml:space="preserve">acreditado el padecimiento de un daño antijurídico por las víctimas, lo cual no sucedió en el asunto </w:t>
      </w:r>
      <w:r w:rsidR="002D0B15" w:rsidRPr="00B01843">
        <w:rPr>
          <w:rFonts w:ascii="Arial" w:hAnsi="Arial"/>
          <w:bCs/>
          <w:i/>
          <w:iCs/>
        </w:rPr>
        <w:t>sub judice</w:t>
      </w:r>
      <w:r w:rsidR="00115B5E" w:rsidRPr="00B01843">
        <w:rPr>
          <w:rFonts w:ascii="Arial" w:hAnsi="Arial"/>
          <w:bCs/>
        </w:rPr>
        <w:t xml:space="preserve">, </w:t>
      </w:r>
      <w:r w:rsidR="00115B5E" w:rsidRPr="00B01843">
        <w:rPr>
          <w:rFonts w:ascii="Arial" w:hAnsi="Arial"/>
          <w:bCs/>
          <w:iCs/>
        </w:rPr>
        <w:t>criterio que esta Sala comparte.</w:t>
      </w:r>
    </w:p>
    <w:p w14:paraId="26490E47" w14:textId="77777777" w:rsidR="00115B5E" w:rsidRPr="00B01843" w:rsidRDefault="00115B5E" w:rsidP="00115B5E">
      <w:pPr>
        <w:spacing w:line="276" w:lineRule="auto"/>
        <w:ind w:right="-8"/>
        <w:rPr>
          <w:rFonts w:ascii="Arial" w:hAnsi="Arial"/>
          <w:bCs/>
        </w:rPr>
      </w:pPr>
    </w:p>
    <w:p w14:paraId="0FFC9A5C" w14:textId="02A2E110" w:rsidR="008F7F7C" w:rsidRPr="00B01843" w:rsidRDefault="008F7F7C" w:rsidP="00115B5E">
      <w:pPr>
        <w:spacing w:line="276" w:lineRule="auto"/>
        <w:ind w:right="-8"/>
        <w:rPr>
          <w:rFonts w:ascii="Arial" w:hAnsi="Arial"/>
          <w:bCs/>
        </w:rPr>
      </w:pPr>
      <w:r w:rsidRPr="00B01843">
        <w:rPr>
          <w:rFonts w:ascii="Arial" w:hAnsi="Arial"/>
          <w:color w:val="000000"/>
        </w:rPr>
        <w:t>Bajo las consideraciones efectuadas a lo largo de esta providencia, la Sala denegará la solicitud de tutela por cuanto no se configuraron l</w:t>
      </w:r>
      <w:r w:rsidR="00A25ECE" w:rsidRPr="00B01843">
        <w:rPr>
          <w:rFonts w:ascii="Arial" w:hAnsi="Arial"/>
          <w:color w:val="000000"/>
        </w:rPr>
        <w:t xml:space="preserve">as irregularidades expuestas </w:t>
      </w:r>
      <w:r w:rsidR="00845BE6" w:rsidRPr="00B01843">
        <w:rPr>
          <w:rFonts w:ascii="Arial" w:hAnsi="Arial"/>
          <w:color w:val="000000"/>
        </w:rPr>
        <w:t>por la parte actora</w:t>
      </w:r>
      <w:r w:rsidR="00A25ECE" w:rsidRPr="00B01843">
        <w:rPr>
          <w:rFonts w:ascii="Arial" w:hAnsi="Arial"/>
          <w:color w:val="000000"/>
        </w:rPr>
        <w:t xml:space="preserve">, </w:t>
      </w:r>
      <w:r w:rsidRPr="00B01843">
        <w:rPr>
          <w:rFonts w:ascii="Arial" w:hAnsi="Arial"/>
          <w:color w:val="000000"/>
        </w:rPr>
        <w:t xml:space="preserve">que amerite la protección de </w:t>
      </w:r>
      <w:r w:rsidR="00845BE6" w:rsidRPr="00B01843">
        <w:rPr>
          <w:rFonts w:ascii="Arial" w:hAnsi="Arial"/>
          <w:color w:val="000000"/>
        </w:rPr>
        <w:t>sus</w:t>
      </w:r>
      <w:r w:rsidRPr="00B01843">
        <w:rPr>
          <w:rFonts w:ascii="Arial" w:hAnsi="Arial"/>
          <w:color w:val="000000"/>
        </w:rPr>
        <w:t xml:space="preserve"> derechos fundamentales invocados</w:t>
      </w:r>
      <w:r w:rsidR="00845BE6" w:rsidRPr="00B01843">
        <w:rPr>
          <w:rFonts w:ascii="Arial" w:hAnsi="Arial"/>
          <w:color w:val="000000"/>
        </w:rPr>
        <w:t xml:space="preserve">. </w:t>
      </w:r>
    </w:p>
    <w:p w14:paraId="68BA70FE" w14:textId="77777777" w:rsidR="00A30106" w:rsidRPr="00B01843" w:rsidRDefault="00A30106" w:rsidP="00D11B9E">
      <w:pPr>
        <w:widowControl w:val="0"/>
        <w:spacing w:line="276" w:lineRule="auto"/>
        <w:contextualSpacing/>
        <w:rPr>
          <w:rFonts w:ascii="Arial" w:hAnsi="Arial"/>
          <w:color w:val="000000"/>
        </w:rPr>
      </w:pPr>
    </w:p>
    <w:p w14:paraId="5CB1EEBD" w14:textId="77777777" w:rsidR="00C73D74" w:rsidRDefault="00714086" w:rsidP="00C73D74">
      <w:pPr>
        <w:widowControl w:val="0"/>
        <w:spacing w:line="276" w:lineRule="auto"/>
        <w:contextualSpacing/>
        <w:rPr>
          <w:rFonts w:ascii="Arial" w:hAnsi="Arial"/>
        </w:rPr>
      </w:pPr>
      <w:r w:rsidRPr="00B01843">
        <w:rPr>
          <w:rFonts w:ascii="Arial" w:hAnsi="Arial"/>
        </w:rPr>
        <w:t>Por lo expuesto, el Consejo de Estado, Sala de lo Contencioso Administrativo, Sección Quinta, administrando justicia en nombre de la República y por autoridad de la ley,</w:t>
      </w:r>
    </w:p>
    <w:p w14:paraId="4B7FC040" w14:textId="77777777" w:rsidR="00C73D74" w:rsidRDefault="00C73D74" w:rsidP="00C73D74">
      <w:pPr>
        <w:widowControl w:val="0"/>
        <w:spacing w:line="276" w:lineRule="auto"/>
        <w:contextualSpacing/>
        <w:rPr>
          <w:rFonts w:ascii="Arial" w:hAnsi="Arial"/>
        </w:rPr>
      </w:pPr>
    </w:p>
    <w:p w14:paraId="145FDBC6" w14:textId="31209EFB" w:rsidR="00714086" w:rsidRPr="00B01843" w:rsidRDefault="00714086" w:rsidP="00C73D74">
      <w:pPr>
        <w:widowControl w:val="0"/>
        <w:spacing w:line="276" w:lineRule="auto"/>
        <w:contextualSpacing/>
        <w:jc w:val="center"/>
        <w:rPr>
          <w:rFonts w:ascii="Arial" w:hAnsi="Arial"/>
        </w:rPr>
      </w:pPr>
      <w:r w:rsidRPr="00B01843">
        <w:rPr>
          <w:rFonts w:ascii="Arial" w:hAnsi="Arial"/>
          <w:b/>
        </w:rPr>
        <w:t>FALLA</w:t>
      </w:r>
    </w:p>
    <w:p w14:paraId="3C7EF0CE" w14:textId="77777777" w:rsidR="00714086" w:rsidRPr="00B01843" w:rsidRDefault="00714086" w:rsidP="00714086">
      <w:pPr>
        <w:pStyle w:val="Prrafodelista"/>
        <w:widowControl w:val="0"/>
        <w:spacing w:line="276" w:lineRule="auto"/>
        <w:ind w:left="0" w:right="-8"/>
        <w:contextualSpacing/>
        <w:rPr>
          <w:rFonts w:ascii="Arial" w:hAnsi="Arial" w:cs="Arial"/>
          <w:b/>
        </w:rPr>
      </w:pPr>
    </w:p>
    <w:p w14:paraId="0739245D" w14:textId="3F176AE0" w:rsidR="00FA7FD0" w:rsidRPr="00B01843" w:rsidRDefault="00714086" w:rsidP="00CC0923">
      <w:pPr>
        <w:widowControl w:val="0"/>
        <w:spacing w:line="276" w:lineRule="auto"/>
        <w:rPr>
          <w:rFonts w:ascii="Arial" w:hAnsi="Arial"/>
        </w:rPr>
      </w:pPr>
      <w:r w:rsidRPr="00B01843">
        <w:rPr>
          <w:rFonts w:ascii="Arial" w:eastAsia="Times New Roman" w:hAnsi="Arial"/>
          <w:b/>
          <w:bCs/>
          <w:spacing w:val="-1"/>
          <w:w w:val="105"/>
          <w:lang w:val="es-ES_tradnl" w:eastAsia="es-ES"/>
        </w:rPr>
        <w:t>PRIMERO:</w:t>
      </w:r>
      <w:r w:rsidRPr="00B01843">
        <w:rPr>
          <w:rFonts w:ascii="Arial" w:eastAsia="Times New Roman" w:hAnsi="Arial"/>
          <w:lang w:val="es-ES_tradnl" w:eastAsia="es-ES"/>
        </w:rPr>
        <w:t xml:space="preserve"> </w:t>
      </w:r>
      <w:r w:rsidR="00FA7FD0" w:rsidRPr="00B01843">
        <w:rPr>
          <w:rFonts w:ascii="Arial" w:hAnsi="Arial"/>
          <w:b/>
        </w:rPr>
        <w:t xml:space="preserve">Desvincúlase </w:t>
      </w:r>
      <w:r w:rsidR="00FA7FD0" w:rsidRPr="00B01843">
        <w:rPr>
          <w:rFonts w:ascii="Arial" w:hAnsi="Arial"/>
        </w:rPr>
        <w:t>al</w:t>
      </w:r>
      <w:r w:rsidR="00FA7FD0" w:rsidRPr="00B01843">
        <w:rPr>
          <w:rFonts w:ascii="Arial" w:hAnsi="Arial"/>
          <w:bCs/>
          <w:shd w:val="clear" w:color="auto" w:fill="FFFFFF"/>
          <w:lang w:eastAsia="es-ES"/>
        </w:rPr>
        <w:t xml:space="preserve"> Ministerio de </w:t>
      </w:r>
      <w:r w:rsidR="00BC7B2E">
        <w:rPr>
          <w:rFonts w:ascii="Arial" w:hAnsi="Arial"/>
          <w:bCs/>
          <w:shd w:val="clear" w:color="auto" w:fill="FFFFFF"/>
          <w:lang w:eastAsia="es-ES"/>
        </w:rPr>
        <w:t>D</w:t>
      </w:r>
      <w:r w:rsidR="00FA7FD0" w:rsidRPr="00B01843">
        <w:rPr>
          <w:rFonts w:ascii="Arial" w:hAnsi="Arial"/>
          <w:bCs/>
          <w:shd w:val="clear" w:color="auto" w:fill="FFFFFF"/>
          <w:lang w:eastAsia="es-ES"/>
        </w:rPr>
        <w:t>efensa - Policía Nacional</w:t>
      </w:r>
      <w:r w:rsidR="00FA7FD0" w:rsidRPr="00B01843">
        <w:rPr>
          <w:rFonts w:ascii="Arial" w:hAnsi="Arial"/>
        </w:rPr>
        <w:t xml:space="preserve"> de la acción de tutela de la referencia, </w:t>
      </w:r>
      <w:r w:rsidR="00FA7FD0" w:rsidRPr="00B01843">
        <w:rPr>
          <w:rFonts w:ascii="Arial" w:hAnsi="Arial"/>
          <w:lang w:val="es-ES_tradnl" w:eastAsia="es-ES"/>
        </w:rPr>
        <w:t>por los motivos descritos anteriormente.</w:t>
      </w:r>
    </w:p>
    <w:p w14:paraId="3BE5C108" w14:textId="77777777" w:rsidR="00714086" w:rsidRPr="00B01843" w:rsidRDefault="00714086" w:rsidP="00CC0923">
      <w:pPr>
        <w:widowControl w:val="0"/>
        <w:overflowPunct w:val="0"/>
        <w:autoSpaceDE w:val="0"/>
        <w:autoSpaceDN w:val="0"/>
        <w:adjustRightInd w:val="0"/>
        <w:spacing w:line="276" w:lineRule="auto"/>
        <w:textAlignment w:val="baseline"/>
        <w:rPr>
          <w:rFonts w:ascii="Arial" w:eastAsia="Times New Roman" w:hAnsi="Arial"/>
          <w:lang w:val="es-ES_tradnl" w:eastAsia="es-ES"/>
        </w:rPr>
      </w:pPr>
    </w:p>
    <w:p w14:paraId="782B2A31" w14:textId="77777777" w:rsidR="00714086" w:rsidRPr="00B01843" w:rsidRDefault="00714086" w:rsidP="00CC0923">
      <w:pPr>
        <w:widowControl w:val="0"/>
        <w:overflowPunct w:val="0"/>
        <w:autoSpaceDE w:val="0"/>
        <w:autoSpaceDN w:val="0"/>
        <w:adjustRightInd w:val="0"/>
        <w:spacing w:line="276" w:lineRule="auto"/>
        <w:textAlignment w:val="baseline"/>
        <w:rPr>
          <w:rFonts w:ascii="Arial" w:eastAsia="Times New Roman" w:hAnsi="Arial"/>
          <w:lang w:eastAsia="es-ES"/>
        </w:rPr>
      </w:pPr>
      <w:r w:rsidRPr="00B01843">
        <w:rPr>
          <w:rFonts w:ascii="Arial" w:eastAsia="Times New Roman" w:hAnsi="Arial"/>
          <w:b/>
          <w:bCs/>
          <w:lang w:val="es-ES_tradnl" w:eastAsia="es-ES"/>
        </w:rPr>
        <w:t>SEGUNDO:</w:t>
      </w:r>
      <w:r w:rsidRPr="00B01843">
        <w:rPr>
          <w:rFonts w:ascii="Arial" w:eastAsia="Times New Roman" w:hAnsi="Arial"/>
          <w:lang w:val="es-ES_tradnl" w:eastAsia="es-ES"/>
        </w:rPr>
        <w:t xml:space="preserve"> </w:t>
      </w:r>
      <w:r w:rsidRPr="00B01843">
        <w:rPr>
          <w:rFonts w:ascii="Arial" w:eastAsia="Times New Roman" w:hAnsi="Arial"/>
          <w:b/>
          <w:lang w:eastAsia="es-ES"/>
        </w:rPr>
        <w:t xml:space="preserve">Niégase </w:t>
      </w:r>
      <w:r w:rsidRPr="00B01843">
        <w:rPr>
          <w:rFonts w:ascii="Arial" w:eastAsia="Times New Roman" w:hAnsi="Arial"/>
          <w:lang w:eastAsia="es-ES"/>
        </w:rPr>
        <w:t xml:space="preserve">la </w:t>
      </w:r>
      <w:r w:rsidR="008F7F7C" w:rsidRPr="00B01843">
        <w:rPr>
          <w:rFonts w:ascii="Arial" w:eastAsia="Times New Roman" w:hAnsi="Arial"/>
          <w:lang w:eastAsia="es-ES"/>
        </w:rPr>
        <w:t xml:space="preserve">solicitud de tutela </w:t>
      </w:r>
      <w:r w:rsidRPr="00B01843">
        <w:rPr>
          <w:rFonts w:ascii="Arial" w:eastAsia="Times New Roman" w:hAnsi="Arial"/>
          <w:lang w:eastAsia="es-ES"/>
        </w:rPr>
        <w:t xml:space="preserve">presentada por los señores </w:t>
      </w:r>
      <w:r w:rsidR="008F7F7C" w:rsidRPr="00B01843">
        <w:rPr>
          <w:rFonts w:ascii="Arial" w:hAnsi="Arial"/>
        </w:rPr>
        <w:t xml:space="preserve">Hipólito Nieto Bonilla y Jorge Iván Ríos Muñoz </w:t>
      </w:r>
      <w:r w:rsidRPr="00B01843">
        <w:rPr>
          <w:rFonts w:ascii="Arial" w:eastAsia="Times New Roman" w:hAnsi="Arial"/>
          <w:lang w:eastAsia="es-ES"/>
        </w:rPr>
        <w:t>contra</w:t>
      </w:r>
      <w:r w:rsidR="008F7F7C" w:rsidRPr="00B01843">
        <w:rPr>
          <w:rFonts w:ascii="Arial" w:eastAsia="Times New Roman" w:hAnsi="Arial"/>
          <w:lang w:eastAsia="es-ES"/>
        </w:rPr>
        <w:t xml:space="preserve"> </w:t>
      </w:r>
      <w:r w:rsidR="008F7F7C" w:rsidRPr="00B01843">
        <w:rPr>
          <w:rFonts w:ascii="Arial" w:hAnsi="Arial"/>
        </w:rPr>
        <w:t>el Consejo de Estado, Sección Tercera, Subsección C</w:t>
      </w:r>
      <w:r w:rsidRPr="00B01843">
        <w:rPr>
          <w:rFonts w:ascii="Arial" w:eastAsia="Times New Roman" w:hAnsi="Arial"/>
          <w:lang w:eastAsia="es-ES"/>
        </w:rPr>
        <w:t>, conforme a lo expuesto en las consideraciones de este proveído.</w:t>
      </w:r>
    </w:p>
    <w:p w14:paraId="03B1D230" w14:textId="77777777" w:rsidR="00714086" w:rsidRPr="00B01843" w:rsidRDefault="00714086" w:rsidP="00CC0923">
      <w:pPr>
        <w:overflowPunct w:val="0"/>
        <w:autoSpaceDE w:val="0"/>
        <w:autoSpaceDN w:val="0"/>
        <w:adjustRightInd w:val="0"/>
        <w:spacing w:line="276" w:lineRule="auto"/>
        <w:ind w:right="-8"/>
        <w:contextualSpacing/>
        <w:textAlignment w:val="baseline"/>
        <w:rPr>
          <w:rFonts w:ascii="Arial" w:hAnsi="Arial"/>
        </w:rPr>
      </w:pPr>
      <w:r w:rsidRPr="00B01843">
        <w:rPr>
          <w:rFonts w:ascii="Arial" w:hAnsi="Arial"/>
          <w:b/>
        </w:rPr>
        <w:t>TERCERO: Notifíquese</w:t>
      </w:r>
      <w:r w:rsidRPr="00B01843">
        <w:rPr>
          <w:rFonts w:ascii="Arial" w:hAnsi="Arial"/>
        </w:rPr>
        <w:t xml:space="preserve"> a las partes y a los intervinientes en la forma prevista en el artículo 30 del Decreto 2591 de 1991.</w:t>
      </w:r>
    </w:p>
    <w:p w14:paraId="57D9258C" w14:textId="77777777" w:rsidR="00714086" w:rsidRPr="00B01843" w:rsidRDefault="00714086" w:rsidP="00CC0923">
      <w:pPr>
        <w:overflowPunct w:val="0"/>
        <w:autoSpaceDE w:val="0"/>
        <w:autoSpaceDN w:val="0"/>
        <w:adjustRightInd w:val="0"/>
        <w:spacing w:line="276" w:lineRule="auto"/>
        <w:ind w:right="-8"/>
        <w:contextualSpacing/>
        <w:textAlignment w:val="baseline"/>
        <w:rPr>
          <w:rFonts w:ascii="Arial" w:hAnsi="Arial"/>
        </w:rPr>
      </w:pPr>
    </w:p>
    <w:p w14:paraId="408248D8" w14:textId="77777777" w:rsidR="00714086" w:rsidRPr="00B01843" w:rsidRDefault="00714086" w:rsidP="00CC0923">
      <w:pPr>
        <w:overflowPunct w:val="0"/>
        <w:autoSpaceDE w:val="0"/>
        <w:autoSpaceDN w:val="0"/>
        <w:adjustRightInd w:val="0"/>
        <w:spacing w:line="276" w:lineRule="auto"/>
        <w:ind w:right="-8"/>
        <w:contextualSpacing/>
        <w:textAlignment w:val="baseline"/>
        <w:rPr>
          <w:rFonts w:ascii="Arial" w:hAnsi="Arial"/>
        </w:rPr>
      </w:pPr>
      <w:r w:rsidRPr="00B01843">
        <w:rPr>
          <w:rFonts w:ascii="Arial" w:hAnsi="Arial"/>
          <w:b/>
        </w:rPr>
        <w:t xml:space="preserve">CUARTO: </w:t>
      </w:r>
      <w:r w:rsidRPr="00B01843">
        <w:rPr>
          <w:rFonts w:ascii="Arial" w:hAnsi="Arial"/>
        </w:rPr>
        <w:t xml:space="preserve">De no ser impugnada la presente providencia, </w:t>
      </w:r>
      <w:r w:rsidRPr="00B01843">
        <w:rPr>
          <w:rFonts w:ascii="Arial" w:hAnsi="Arial"/>
          <w:b/>
        </w:rPr>
        <w:t>remítase</w:t>
      </w:r>
      <w:r w:rsidRPr="00B01843">
        <w:rPr>
          <w:rFonts w:ascii="Arial" w:hAnsi="Arial"/>
        </w:rPr>
        <w:t xml:space="preserve"> el expediente de tutela a la Corte Constitucional para su eventual revisión.  </w:t>
      </w:r>
    </w:p>
    <w:p w14:paraId="61317044" w14:textId="77777777" w:rsidR="00714086" w:rsidRPr="00B01843" w:rsidRDefault="00714086" w:rsidP="00714086">
      <w:pPr>
        <w:overflowPunct w:val="0"/>
        <w:autoSpaceDE w:val="0"/>
        <w:autoSpaceDN w:val="0"/>
        <w:adjustRightInd w:val="0"/>
        <w:spacing w:line="276" w:lineRule="auto"/>
        <w:ind w:right="-8"/>
        <w:contextualSpacing/>
        <w:textAlignment w:val="baseline"/>
        <w:rPr>
          <w:rFonts w:ascii="Arial" w:eastAsia="Times New Roman" w:hAnsi="Arial"/>
          <w:b/>
          <w:lang w:eastAsia="es-ES"/>
        </w:rPr>
      </w:pPr>
    </w:p>
    <w:p w14:paraId="40ACCCD3" w14:textId="77777777" w:rsidR="00CC0923" w:rsidRPr="00B01843" w:rsidRDefault="00714086" w:rsidP="00714086">
      <w:pPr>
        <w:widowControl w:val="0"/>
        <w:overflowPunct w:val="0"/>
        <w:autoSpaceDE w:val="0"/>
        <w:autoSpaceDN w:val="0"/>
        <w:adjustRightInd w:val="0"/>
        <w:spacing w:line="276" w:lineRule="auto"/>
        <w:ind w:right="-8"/>
        <w:textAlignment w:val="baseline"/>
        <w:rPr>
          <w:rFonts w:ascii="Arial" w:eastAsia="Times New Roman" w:hAnsi="Arial"/>
          <w:b/>
          <w:lang w:val="es-CO" w:eastAsia="es-ES"/>
        </w:rPr>
      </w:pPr>
      <w:r w:rsidRPr="00B01843">
        <w:rPr>
          <w:rFonts w:ascii="Arial" w:eastAsia="Times New Roman" w:hAnsi="Arial"/>
          <w:b/>
          <w:lang w:val="es-CO" w:eastAsia="es-ES"/>
        </w:rPr>
        <w:t>NOTIFÍQUESE Y CÚMPLASE</w:t>
      </w:r>
    </w:p>
    <w:p w14:paraId="403A989D" w14:textId="6CCDD8B8" w:rsidR="002E1BCB" w:rsidRPr="00B01843" w:rsidRDefault="002E1BCB" w:rsidP="00714086">
      <w:pPr>
        <w:widowControl w:val="0"/>
        <w:overflowPunct w:val="0"/>
        <w:autoSpaceDE w:val="0"/>
        <w:autoSpaceDN w:val="0"/>
        <w:adjustRightInd w:val="0"/>
        <w:spacing w:line="276" w:lineRule="auto"/>
        <w:ind w:right="-8"/>
        <w:textAlignment w:val="baseline"/>
        <w:rPr>
          <w:rFonts w:ascii="Arial" w:eastAsia="Times New Roman" w:hAnsi="Arial"/>
          <w:b/>
          <w:lang w:val="es-CO" w:eastAsia="es-ES"/>
        </w:rPr>
      </w:pPr>
    </w:p>
    <w:p w14:paraId="30000640" w14:textId="77777777" w:rsidR="00203C2D" w:rsidRPr="00B01843" w:rsidRDefault="00203C2D" w:rsidP="00714086">
      <w:pPr>
        <w:widowControl w:val="0"/>
        <w:overflowPunct w:val="0"/>
        <w:autoSpaceDE w:val="0"/>
        <w:autoSpaceDN w:val="0"/>
        <w:adjustRightInd w:val="0"/>
        <w:spacing w:line="276" w:lineRule="auto"/>
        <w:ind w:right="-8"/>
        <w:textAlignment w:val="baseline"/>
        <w:rPr>
          <w:rFonts w:ascii="Arial" w:eastAsia="Times New Roman" w:hAnsi="Arial"/>
          <w:b/>
          <w:lang w:val="es-CO" w:eastAsia="es-ES"/>
        </w:rPr>
      </w:pPr>
    </w:p>
    <w:p w14:paraId="22FD9056" w14:textId="77777777" w:rsidR="00CC0923" w:rsidRPr="00B01843" w:rsidRDefault="00CC0923" w:rsidP="00714086">
      <w:pPr>
        <w:widowControl w:val="0"/>
        <w:overflowPunct w:val="0"/>
        <w:autoSpaceDE w:val="0"/>
        <w:autoSpaceDN w:val="0"/>
        <w:adjustRightInd w:val="0"/>
        <w:spacing w:line="276" w:lineRule="auto"/>
        <w:ind w:right="-8"/>
        <w:textAlignment w:val="baseline"/>
        <w:rPr>
          <w:rFonts w:ascii="Arial" w:eastAsia="Times New Roman" w:hAnsi="Arial"/>
          <w:b/>
          <w:lang w:val="es-ES_tradnl" w:eastAsia="es-ES"/>
        </w:rPr>
      </w:pPr>
    </w:p>
    <w:p w14:paraId="7496E9C9" w14:textId="77777777" w:rsidR="00714086" w:rsidRPr="00B01843" w:rsidRDefault="00714086" w:rsidP="00714086">
      <w:pPr>
        <w:spacing w:line="276" w:lineRule="auto"/>
        <w:jc w:val="center"/>
        <w:rPr>
          <w:rFonts w:ascii="Arial" w:eastAsia="Times New Roman" w:hAnsi="Arial"/>
          <w:b/>
          <w:lang w:eastAsia="es-ES"/>
        </w:rPr>
      </w:pPr>
      <w:r w:rsidRPr="00B01843">
        <w:rPr>
          <w:rFonts w:ascii="Arial" w:eastAsia="Times New Roman" w:hAnsi="Arial"/>
          <w:b/>
          <w:lang w:eastAsia="es-ES"/>
        </w:rPr>
        <w:t>LUIS ALBERTO ÁLVAREZ PARRA</w:t>
      </w:r>
    </w:p>
    <w:p w14:paraId="5C93CD36" w14:textId="77777777" w:rsidR="00714086" w:rsidRPr="00B01843" w:rsidRDefault="00714086" w:rsidP="002E1BCB">
      <w:pPr>
        <w:spacing w:line="276" w:lineRule="auto"/>
        <w:jc w:val="center"/>
        <w:rPr>
          <w:rFonts w:ascii="Arial" w:eastAsia="Times New Roman" w:hAnsi="Arial"/>
          <w:b/>
          <w:lang w:eastAsia="es-ES"/>
        </w:rPr>
      </w:pPr>
      <w:r w:rsidRPr="00B01843">
        <w:rPr>
          <w:rFonts w:ascii="Arial" w:eastAsia="Times New Roman" w:hAnsi="Arial"/>
          <w:b/>
          <w:lang w:eastAsia="es-ES"/>
        </w:rPr>
        <w:t>Presidente</w:t>
      </w:r>
    </w:p>
    <w:p w14:paraId="2D3480F0" w14:textId="77777777" w:rsidR="00CC0923" w:rsidRPr="00B01843" w:rsidRDefault="00CC0923" w:rsidP="00714086">
      <w:pPr>
        <w:spacing w:line="276" w:lineRule="auto"/>
        <w:jc w:val="center"/>
        <w:rPr>
          <w:rFonts w:ascii="Arial" w:eastAsia="Times New Roman" w:hAnsi="Arial"/>
          <w:b/>
          <w:lang w:eastAsia="es-ES"/>
        </w:rPr>
      </w:pPr>
    </w:p>
    <w:p w14:paraId="52433561" w14:textId="0BFCA563" w:rsidR="00714086" w:rsidRPr="00B01843" w:rsidRDefault="00714086" w:rsidP="00714086">
      <w:pPr>
        <w:spacing w:line="276" w:lineRule="auto"/>
        <w:jc w:val="center"/>
        <w:rPr>
          <w:rFonts w:ascii="Arial" w:eastAsia="Times New Roman" w:hAnsi="Arial"/>
          <w:b/>
          <w:lang w:eastAsia="es-ES"/>
        </w:rPr>
      </w:pPr>
    </w:p>
    <w:p w14:paraId="76617C29" w14:textId="77777777" w:rsidR="00203C2D" w:rsidRPr="00B01843" w:rsidRDefault="00203C2D" w:rsidP="00714086">
      <w:pPr>
        <w:spacing w:line="276" w:lineRule="auto"/>
        <w:jc w:val="center"/>
        <w:rPr>
          <w:rFonts w:ascii="Arial" w:eastAsia="Times New Roman" w:hAnsi="Arial"/>
          <w:b/>
          <w:lang w:eastAsia="es-ES"/>
        </w:rPr>
      </w:pPr>
    </w:p>
    <w:p w14:paraId="77639AEF" w14:textId="77777777" w:rsidR="00714086" w:rsidRPr="00B01843" w:rsidRDefault="00714086" w:rsidP="00714086">
      <w:pPr>
        <w:spacing w:line="276" w:lineRule="auto"/>
        <w:jc w:val="center"/>
        <w:rPr>
          <w:rFonts w:ascii="Arial" w:eastAsia="Times New Roman" w:hAnsi="Arial"/>
          <w:b/>
          <w:lang w:eastAsia="es-ES"/>
        </w:rPr>
      </w:pPr>
      <w:r w:rsidRPr="00B01843">
        <w:rPr>
          <w:rFonts w:ascii="Arial" w:eastAsia="Times New Roman" w:hAnsi="Arial"/>
          <w:b/>
          <w:lang w:eastAsia="es-ES"/>
        </w:rPr>
        <w:t>ROCÍO ARAÚJO OÑATE</w:t>
      </w:r>
    </w:p>
    <w:p w14:paraId="50BDFC57" w14:textId="77777777" w:rsidR="00203C2D" w:rsidRPr="00B01843" w:rsidRDefault="00714086" w:rsidP="00203C2D">
      <w:pPr>
        <w:spacing w:line="276" w:lineRule="auto"/>
        <w:jc w:val="center"/>
        <w:rPr>
          <w:rFonts w:ascii="Arial" w:eastAsia="Times New Roman" w:hAnsi="Arial"/>
          <w:b/>
          <w:lang w:eastAsia="es-ES"/>
        </w:rPr>
      </w:pPr>
      <w:r w:rsidRPr="00B01843">
        <w:rPr>
          <w:rFonts w:ascii="Arial" w:eastAsia="Times New Roman" w:hAnsi="Arial"/>
          <w:b/>
          <w:lang w:eastAsia="es-ES"/>
        </w:rPr>
        <w:t>Magistrada</w:t>
      </w:r>
    </w:p>
    <w:p w14:paraId="79CF9EAA" w14:textId="77777777" w:rsidR="00203C2D" w:rsidRPr="00B01843" w:rsidRDefault="00203C2D" w:rsidP="00203C2D">
      <w:pPr>
        <w:spacing w:line="276" w:lineRule="auto"/>
        <w:jc w:val="center"/>
        <w:rPr>
          <w:rFonts w:ascii="Arial" w:eastAsia="Times New Roman" w:hAnsi="Arial"/>
          <w:b/>
          <w:lang w:eastAsia="es-ES"/>
        </w:rPr>
      </w:pPr>
    </w:p>
    <w:p w14:paraId="7D06E3E2" w14:textId="77777777" w:rsidR="00203C2D" w:rsidRPr="00B01843" w:rsidRDefault="00203C2D" w:rsidP="00203C2D">
      <w:pPr>
        <w:spacing w:line="276" w:lineRule="auto"/>
        <w:jc w:val="center"/>
        <w:rPr>
          <w:rFonts w:ascii="Arial" w:eastAsia="Times New Roman" w:hAnsi="Arial"/>
          <w:b/>
          <w:lang w:eastAsia="es-ES"/>
        </w:rPr>
      </w:pPr>
    </w:p>
    <w:p w14:paraId="0F1AAB9A" w14:textId="77777777" w:rsidR="00203C2D" w:rsidRPr="00B01843" w:rsidRDefault="00203C2D" w:rsidP="00203C2D">
      <w:pPr>
        <w:spacing w:line="276" w:lineRule="auto"/>
        <w:jc w:val="center"/>
        <w:rPr>
          <w:rFonts w:ascii="Arial" w:eastAsia="Times New Roman" w:hAnsi="Arial"/>
          <w:b/>
          <w:lang w:eastAsia="es-ES"/>
        </w:rPr>
      </w:pPr>
    </w:p>
    <w:p w14:paraId="738AAC01" w14:textId="0C6162DF" w:rsidR="00714086" w:rsidRPr="00B01843" w:rsidRDefault="00714086" w:rsidP="00203C2D">
      <w:pPr>
        <w:spacing w:line="276" w:lineRule="auto"/>
        <w:jc w:val="center"/>
        <w:rPr>
          <w:rFonts w:ascii="Arial" w:eastAsia="Times New Roman" w:hAnsi="Arial"/>
          <w:b/>
          <w:lang w:eastAsia="es-ES"/>
        </w:rPr>
      </w:pPr>
      <w:r w:rsidRPr="00B01843">
        <w:rPr>
          <w:rFonts w:ascii="Arial" w:eastAsia="Times New Roman" w:hAnsi="Arial"/>
          <w:b/>
          <w:lang w:eastAsia="es-ES"/>
        </w:rPr>
        <w:t>LUCY JEANNETTE BERMÚDEZ BERMÚDEZ</w:t>
      </w:r>
    </w:p>
    <w:p w14:paraId="35959B2B" w14:textId="77777777" w:rsidR="00203C2D" w:rsidRPr="00B01843" w:rsidRDefault="00714086" w:rsidP="00203C2D">
      <w:pPr>
        <w:widowControl w:val="0"/>
        <w:overflowPunct w:val="0"/>
        <w:autoSpaceDE w:val="0"/>
        <w:autoSpaceDN w:val="0"/>
        <w:adjustRightInd w:val="0"/>
        <w:spacing w:line="276" w:lineRule="auto"/>
        <w:jc w:val="center"/>
        <w:textAlignment w:val="baseline"/>
        <w:rPr>
          <w:rFonts w:ascii="Arial" w:eastAsia="Times New Roman" w:hAnsi="Arial"/>
          <w:b/>
          <w:lang w:eastAsia="es-ES"/>
        </w:rPr>
      </w:pPr>
      <w:r w:rsidRPr="00B01843">
        <w:rPr>
          <w:rFonts w:ascii="Arial" w:eastAsia="Times New Roman" w:hAnsi="Arial"/>
          <w:b/>
          <w:lang w:eastAsia="es-ES"/>
        </w:rPr>
        <w:t>Magistrada</w:t>
      </w:r>
    </w:p>
    <w:p w14:paraId="75D598D1" w14:textId="77777777" w:rsidR="00203C2D" w:rsidRPr="00B01843" w:rsidRDefault="00203C2D" w:rsidP="00203C2D">
      <w:pPr>
        <w:widowControl w:val="0"/>
        <w:overflowPunct w:val="0"/>
        <w:autoSpaceDE w:val="0"/>
        <w:autoSpaceDN w:val="0"/>
        <w:adjustRightInd w:val="0"/>
        <w:spacing w:line="276" w:lineRule="auto"/>
        <w:jc w:val="center"/>
        <w:textAlignment w:val="baseline"/>
        <w:rPr>
          <w:rFonts w:ascii="Arial" w:eastAsia="Times New Roman" w:hAnsi="Arial"/>
          <w:b/>
          <w:lang w:eastAsia="es-ES"/>
        </w:rPr>
      </w:pPr>
    </w:p>
    <w:p w14:paraId="2B07B3F6" w14:textId="77777777" w:rsidR="00203C2D" w:rsidRPr="00B01843" w:rsidRDefault="00203C2D" w:rsidP="00203C2D">
      <w:pPr>
        <w:widowControl w:val="0"/>
        <w:overflowPunct w:val="0"/>
        <w:autoSpaceDE w:val="0"/>
        <w:autoSpaceDN w:val="0"/>
        <w:adjustRightInd w:val="0"/>
        <w:spacing w:line="276" w:lineRule="auto"/>
        <w:jc w:val="center"/>
        <w:textAlignment w:val="baseline"/>
        <w:rPr>
          <w:rFonts w:ascii="Arial" w:eastAsia="Times New Roman" w:hAnsi="Arial"/>
          <w:b/>
          <w:lang w:eastAsia="es-ES"/>
        </w:rPr>
      </w:pPr>
    </w:p>
    <w:p w14:paraId="626CA9D4" w14:textId="77777777" w:rsidR="00203C2D" w:rsidRPr="00B01843" w:rsidRDefault="00203C2D" w:rsidP="00203C2D">
      <w:pPr>
        <w:widowControl w:val="0"/>
        <w:overflowPunct w:val="0"/>
        <w:autoSpaceDE w:val="0"/>
        <w:autoSpaceDN w:val="0"/>
        <w:adjustRightInd w:val="0"/>
        <w:spacing w:line="276" w:lineRule="auto"/>
        <w:jc w:val="center"/>
        <w:textAlignment w:val="baseline"/>
        <w:rPr>
          <w:rFonts w:ascii="Arial" w:eastAsia="Times New Roman" w:hAnsi="Arial"/>
          <w:b/>
          <w:lang w:eastAsia="es-ES"/>
        </w:rPr>
      </w:pPr>
    </w:p>
    <w:p w14:paraId="1C4DE072" w14:textId="618FBDAE" w:rsidR="00714086" w:rsidRPr="00B01843" w:rsidRDefault="00714086" w:rsidP="00203C2D">
      <w:pPr>
        <w:widowControl w:val="0"/>
        <w:overflowPunct w:val="0"/>
        <w:autoSpaceDE w:val="0"/>
        <w:autoSpaceDN w:val="0"/>
        <w:adjustRightInd w:val="0"/>
        <w:spacing w:line="276" w:lineRule="auto"/>
        <w:jc w:val="center"/>
        <w:textAlignment w:val="baseline"/>
        <w:rPr>
          <w:rFonts w:ascii="Arial" w:eastAsia="Times New Roman" w:hAnsi="Arial"/>
          <w:b/>
          <w:lang w:eastAsia="es-ES"/>
        </w:rPr>
      </w:pPr>
      <w:r w:rsidRPr="00B01843">
        <w:rPr>
          <w:rFonts w:ascii="Arial" w:eastAsia="Times New Roman" w:hAnsi="Arial"/>
          <w:b/>
          <w:lang w:eastAsia="es-ES"/>
        </w:rPr>
        <w:t>CARLOS ENRIQUE MORENO RUBIO</w:t>
      </w:r>
    </w:p>
    <w:p w14:paraId="72A8284A" w14:textId="77777777" w:rsidR="00847686" w:rsidRPr="00B01843" w:rsidRDefault="00714086" w:rsidP="002E1BCB">
      <w:pPr>
        <w:spacing w:line="276" w:lineRule="auto"/>
        <w:jc w:val="center"/>
        <w:rPr>
          <w:rFonts w:ascii="Arial" w:eastAsia="Times New Roman" w:hAnsi="Arial"/>
          <w:b/>
          <w:lang w:eastAsia="es-ES"/>
        </w:rPr>
      </w:pPr>
      <w:r w:rsidRPr="00B01843">
        <w:rPr>
          <w:rFonts w:ascii="Arial" w:eastAsia="Times New Roman" w:hAnsi="Arial"/>
          <w:b/>
          <w:lang w:eastAsia="es-ES"/>
        </w:rPr>
        <w:t>Magistrad</w:t>
      </w:r>
      <w:r w:rsidR="002E1BCB" w:rsidRPr="00B01843">
        <w:rPr>
          <w:rFonts w:ascii="Arial" w:eastAsia="Times New Roman" w:hAnsi="Arial"/>
          <w:b/>
          <w:lang w:eastAsia="es-ES"/>
        </w:rPr>
        <w:t>o</w:t>
      </w:r>
    </w:p>
    <w:sectPr w:rsidR="00847686" w:rsidRPr="00B01843" w:rsidSect="00194EF5">
      <w:headerReference w:type="default" r:id="rId8"/>
      <w:pgSz w:w="12240" w:h="18720" w:code="14"/>
      <w:pgMar w:top="2268" w:right="1701" w:bottom="1701" w:left="1701"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1524C" w14:textId="77777777" w:rsidR="00A463FC" w:rsidRDefault="00A463FC" w:rsidP="00714086">
      <w:r>
        <w:separator/>
      </w:r>
    </w:p>
  </w:endnote>
  <w:endnote w:type="continuationSeparator" w:id="0">
    <w:p w14:paraId="278A2765" w14:textId="77777777" w:rsidR="00A463FC" w:rsidRDefault="00A463FC" w:rsidP="00714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1F210" w14:textId="77777777" w:rsidR="00A463FC" w:rsidRDefault="00A463FC" w:rsidP="00714086">
      <w:r>
        <w:separator/>
      </w:r>
    </w:p>
  </w:footnote>
  <w:footnote w:type="continuationSeparator" w:id="0">
    <w:p w14:paraId="3F4DEFFB" w14:textId="77777777" w:rsidR="00A463FC" w:rsidRDefault="00A463FC" w:rsidP="00714086">
      <w:r>
        <w:continuationSeparator/>
      </w:r>
    </w:p>
  </w:footnote>
  <w:footnote w:id="1">
    <w:p w14:paraId="7F3D46A6" w14:textId="3D41C264" w:rsidR="00194EF5" w:rsidRDefault="00EB1FDE" w:rsidP="00714086">
      <w:pPr>
        <w:pStyle w:val="Textonotapie"/>
        <w:jc w:val="both"/>
        <w:rPr>
          <w:rFonts w:ascii="Arial" w:hAnsi="Arial" w:cs="Arial"/>
        </w:rPr>
      </w:pPr>
      <w:r w:rsidRPr="00194EF5">
        <w:rPr>
          <w:rStyle w:val="Refdenotaalpie"/>
          <w:rFonts w:ascii="Arial" w:hAnsi="Arial" w:cs="Arial"/>
        </w:rPr>
        <w:footnoteRef/>
      </w:r>
      <w:r w:rsidRPr="00194EF5">
        <w:rPr>
          <w:rFonts w:ascii="Arial" w:hAnsi="Arial" w:cs="Arial"/>
        </w:rPr>
        <w:t xml:space="preserve"> Mediante escrito radicado el 5 de marzo de 2020 en la Secretaría General de esta Corporación. </w:t>
      </w:r>
    </w:p>
    <w:p w14:paraId="1ECB5DF5" w14:textId="77777777" w:rsidR="001057F3" w:rsidRPr="00194EF5" w:rsidRDefault="001057F3" w:rsidP="00714086">
      <w:pPr>
        <w:pStyle w:val="Textonotapie"/>
        <w:jc w:val="both"/>
        <w:rPr>
          <w:rFonts w:ascii="Arial" w:hAnsi="Arial" w:cs="Arial"/>
        </w:rPr>
      </w:pPr>
    </w:p>
  </w:footnote>
  <w:footnote w:id="2">
    <w:p w14:paraId="606A3717" w14:textId="77777777" w:rsidR="006D15C0" w:rsidRDefault="006D15C0" w:rsidP="006D15C0">
      <w:pPr>
        <w:pStyle w:val="Textonotapie"/>
        <w:jc w:val="both"/>
        <w:rPr>
          <w:rFonts w:ascii="Arial" w:hAnsi="Arial" w:cs="Arial"/>
        </w:rPr>
      </w:pPr>
      <w:r w:rsidRPr="00181BA8">
        <w:rPr>
          <w:rStyle w:val="Refdenotaalpie"/>
          <w:rFonts w:ascii="Arial" w:hAnsi="Arial" w:cs="Arial"/>
        </w:rPr>
        <w:footnoteRef/>
      </w:r>
      <w:r w:rsidRPr="00181BA8">
        <w:rPr>
          <w:rFonts w:ascii="Arial" w:hAnsi="Arial" w:cs="Arial"/>
        </w:rPr>
        <w:t xml:space="preserve"> </w:t>
      </w:r>
      <w:r>
        <w:rPr>
          <w:rFonts w:ascii="Arial" w:hAnsi="Arial" w:cs="Arial"/>
          <w:u w:val="single"/>
        </w:rPr>
        <w:t>D</w:t>
      </w:r>
      <w:r w:rsidRPr="00453CFC">
        <w:rPr>
          <w:rFonts w:ascii="Arial" w:hAnsi="Arial" w:cs="Arial"/>
          <w:u w:val="single"/>
        </w:rPr>
        <w:t>el señor Hipólito Nieto Bonilla</w:t>
      </w:r>
      <w:r w:rsidRPr="00181BA8">
        <w:rPr>
          <w:rFonts w:ascii="Arial" w:hAnsi="Arial" w:cs="Arial"/>
        </w:rPr>
        <w:t xml:space="preserve">: </w:t>
      </w:r>
      <w:r w:rsidRPr="00181BA8">
        <w:rPr>
          <w:rFonts w:ascii="Arial" w:hAnsi="Arial" w:cs="Arial"/>
          <w:lang w:val="es-CO"/>
        </w:rPr>
        <w:t>Magnolia de Jesús Naranjo Santa, Nicolás Nieto Naranjo, Samuel Nieto Naranjo, María Anais Bonilla Ñustes, Gilberto Nieto Bonilla, Mariela Bonilla, Henry Bonilla, Roque Palomo Bonilla, Evangelista Bonilla</w:t>
      </w:r>
      <w:r>
        <w:rPr>
          <w:rFonts w:ascii="Arial" w:hAnsi="Arial" w:cs="Arial"/>
          <w:lang w:val="es-CO"/>
        </w:rPr>
        <w:t xml:space="preserve">. </w:t>
      </w:r>
    </w:p>
    <w:p w14:paraId="65D069CF" w14:textId="77777777" w:rsidR="006D15C0" w:rsidRDefault="006D15C0" w:rsidP="006D15C0">
      <w:pPr>
        <w:pStyle w:val="Textonotapie"/>
        <w:jc w:val="both"/>
        <w:rPr>
          <w:rFonts w:ascii="Arial" w:hAnsi="Arial" w:cs="Arial"/>
        </w:rPr>
      </w:pPr>
    </w:p>
    <w:p w14:paraId="07781F17" w14:textId="77777777" w:rsidR="006D15C0" w:rsidRPr="00181BA8" w:rsidRDefault="006D15C0" w:rsidP="006D15C0">
      <w:pPr>
        <w:pStyle w:val="Textonotapie"/>
        <w:jc w:val="both"/>
        <w:rPr>
          <w:rFonts w:ascii="Arial" w:hAnsi="Arial" w:cs="Arial"/>
        </w:rPr>
      </w:pPr>
      <w:r>
        <w:rPr>
          <w:rFonts w:ascii="Arial" w:hAnsi="Arial" w:cs="Arial"/>
          <w:u w:val="single"/>
        </w:rPr>
        <w:t xml:space="preserve">Del </w:t>
      </w:r>
      <w:r w:rsidRPr="00453CFC">
        <w:rPr>
          <w:rFonts w:ascii="Arial" w:hAnsi="Arial" w:cs="Arial"/>
          <w:u w:val="single"/>
        </w:rPr>
        <w:t xml:space="preserve">señor </w:t>
      </w:r>
      <w:r w:rsidRPr="00453CFC">
        <w:rPr>
          <w:rFonts w:ascii="Arial" w:hAnsi="Arial"/>
          <w:u w:val="single"/>
        </w:rPr>
        <w:t>Jorge Iván Ríos Muñoz:</w:t>
      </w:r>
      <w:r w:rsidRPr="00181BA8">
        <w:rPr>
          <w:rFonts w:ascii="Arial" w:hAnsi="Arial" w:cs="Arial"/>
          <w:sz w:val="24"/>
          <w:szCs w:val="24"/>
          <w:lang w:val="es-CO"/>
        </w:rPr>
        <w:t xml:space="preserve"> </w:t>
      </w:r>
      <w:r w:rsidRPr="00181BA8">
        <w:rPr>
          <w:rFonts w:ascii="Arial" w:hAnsi="Arial"/>
          <w:lang w:val="es-CO"/>
        </w:rPr>
        <w:t>Sorancy Ochoa Rojas, María Camila Ríos Ochoa, David Antonio Ríos Ochoa, Rodrigo Antonio Ríos Álvarez, María Alveny Muñoz, Nathalia Ríos Muñoz, Sandra Liliana Ríos Muñoz y Diana Lucía Ríos Muñoz</w:t>
      </w:r>
      <w:r>
        <w:rPr>
          <w:rFonts w:ascii="Arial" w:hAnsi="Arial"/>
          <w:lang w:val="es-CO"/>
        </w:rPr>
        <w:t xml:space="preserve">. </w:t>
      </w:r>
      <w:r>
        <w:rPr>
          <w:rFonts w:ascii="Arial" w:hAnsi="Arial"/>
        </w:rPr>
        <w:t xml:space="preserve"> </w:t>
      </w:r>
    </w:p>
  </w:footnote>
  <w:footnote w:id="3">
    <w:p w14:paraId="266C0AA7" w14:textId="77777777" w:rsidR="00EB1FDE" w:rsidRPr="0054761F" w:rsidRDefault="00EB1FDE" w:rsidP="0054761F">
      <w:pPr>
        <w:pStyle w:val="Textonotapie"/>
        <w:spacing w:after="360"/>
        <w:contextualSpacing/>
        <w:jc w:val="both"/>
        <w:rPr>
          <w:rFonts w:ascii="Arial" w:hAnsi="Arial" w:cs="Arial"/>
        </w:rPr>
      </w:pPr>
      <w:r w:rsidRPr="0054761F">
        <w:rPr>
          <w:rStyle w:val="Refdenotaalpie"/>
          <w:rFonts w:ascii="Arial" w:hAnsi="Arial" w:cs="Arial"/>
        </w:rPr>
        <w:footnoteRef/>
      </w:r>
      <w:r w:rsidRPr="0054761F">
        <w:rPr>
          <w:rFonts w:ascii="Arial" w:hAnsi="Arial" w:cs="Arial"/>
        </w:rPr>
        <w:t xml:space="preserve"> </w:t>
      </w:r>
      <w:r w:rsidRPr="0054761F">
        <w:rPr>
          <w:rFonts w:ascii="Arial" w:hAnsi="Arial" w:cs="Arial"/>
          <w:color w:val="000000" w:themeColor="text1"/>
          <w:shd w:val="clear" w:color="auto" w:fill="FFFFFF"/>
        </w:rPr>
        <w:t xml:space="preserve">Sala Plena de la Sección Tercera del Consejo de Estado, </w:t>
      </w:r>
      <w:r w:rsidRPr="0054761F">
        <w:rPr>
          <w:rFonts w:ascii="Arial" w:hAnsi="Arial" w:cs="Arial"/>
        </w:rPr>
        <w:t>M.P. Carlos Alberto Zambrano Barrera, rad. 66001-23-31-000-2010-00235 01 (46.947).</w:t>
      </w:r>
    </w:p>
  </w:footnote>
  <w:footnote w:id="4">
    <w:p w14:paraId="19E17F70" w14:textId="77777777" w:rsidR="00EB1FDE" w:rsidRPr="00827BDD" w:rsidRDefault="00EB1FDE" w:rsidP="00184D9B">
      <w:pPr>
        <w:pStyle w:val="Textonotapie"/>
        <w:contextualSpacing/>
        <w:rPr>
          <w:rFonts w:ascii="Arial" w:hAnsi="Arial" w:cs="Arial"/>
          <w:lang w:val="es-CO"/>
        </w:rPr>
      </w:pPr>
      <w:r w:rsidRPr="00827BDD">
        <w:rPr>
          <w:rStyle w:val="Refdenotaalpie"/>
          <w:rFonts w:ascii="Arial" w:hAnsi="Arial" w:cs="Arial"/>
        </w:rPr>
        <w:footnoteRef/>
      </w:r>
      <w:r w:rsidRPr="00827BDD">
        <w:rPr>
          <w:rFonts w:ascii="Arial" w:hAnsi="Arial" w:cs="Arial"/>
        </w:rPr>
        <w:t xml:space="preserve"> M.P. </w:t>
      </w:r>
      <w:r w:rsidRPr="00827BDD">
        <w:rPr>
          <w:rFonts w:ascii="Arial" w:hAnsi="Arial" w:cs="Arial"/>
          <w:lang w:val="es-CO"/>
        </w:rPr>
        <w:t xml:space="preserve">Hernán Andrade Rincón, </w:t>
      </w:r>
      <w:r w:rsidRPr="00827BDD">
        <w:rPr>
          <w:rFonts w:ascii="Arial" w:hAnsi="Arial" w:cs="Arial"/>
        </w:rPr>
        <w:t xml:space="preserve">rad. 50001-23-31-000-2000-30072-01 (33945). </w:t>
      </w:r>
    </w:p>
  </w:footnote>
  <w:footnote w:id="5">
    <w:p w14:paraId="7AE2AC33" w14:textId="77777777" w:rsidR="00EB1FDE" w:rsidRPr="00827BDD" w:rsidRDefault="00EB1FDE" w:rsidP="0054761F">
      <w:pPr>
        <w:pStyle w:val="Textonotapie"/>
        <w:contextualSpacing/>
        <w:jc w:val="both"/>
        <w:rPr>
          <w:rFonts w:ascii="Arial" w:hAnsi="Arial" w:cs="Arial"/>
          <w:lang w:val="es-CO"/>
        </w:rPr>
      </w:pPr>
      <w:r w:rsidRPr="00827BDD">
        <w:rPr>
          <w:rStyle w:val="Refdenotaalpie"/>
          <w:rFonts w:ascii="Arial" w:hAnsi="Arial" w:cs="Arial"/>
        </w:rPr>
        <w:footnoteRef/>
      </w:r>
      <w:r w:rsidRPr="00827BDD">
        <w:rPr>
          <w:rFonts w:ascii="Arial" w:hAnsi="Arial" w:cs="Arial"/>
        </w:rPr>
        <w:t xml:space="preserve"> </w:t>
      </w:r>
      <w:r w:rsidRPr="00827BDD">
        <w:rPr>
          <w:rFonts w:ascii="Arial" w:hAnsi="Arial" w:cs="Arial"/>
          <w:lang w:val="es-CO"/>
        </w:rPr>
        <w:t xml:space="preserve">Folios 48 y 49.  </w:t>
      </w:r>
    </w:p>
  </w:footnote>
  <w:footnote w:id="6">
    <w:p w14:paraId="64F5096D" w14:textId="77777777" w:rsidR="00EB1FDE" w:rsidRPr="00827BDD" w:rsidRDefault="00EB1FDE" w:rsidP="0054761F">
      <w:pPr>
        <w:pStyle w:val="Textonotapie"/>
        <w:jc w:val="both"/>
        <w:rPr>
          <w:rFonts w:ascii="Arial" w:hAnsi="Arial" w:cs="Arial"/>
        </w:rPr>
      </w:pPr>
      <w:r w:rsidRPr="00827BDD">
        <w:rPr>
          <w:rStyle w:val="Refdenotaalpie"/>
          <w:rFonts w:ascii="Arial" w:hAnsi="Arial" w:cs="Arial"/>
        </w:rPr>
        <w:footnoteRef/>
      </w:r>
      <w:r w:rsidRPr="00827BDD">
        <w:rPr>
          <w:rFonts w:ascii="Arial" w:hAnsi="Arial" w:cs="Arial"/>
        </w:rPr>
        <w:t xml:space="preserve"> Cabe aclarar que se vinculó a este tribunal en calidad de demandado teniendo en cuenta que en el escrito de la tutela se identificó como tal. No obstante, los reparos planteados por la parte actora están dirigidos principalmente contra la decisión proferida por el Consejo de Estado, Sección Tercera, Subsección C. </w:t>
      </w:r>
    </w:p>
  </w:footnote>
  <w:footnote w:id="7">
    <w:p w14:paraId="27777FD4" w14:textId="77777777" w:rsidR="00EB1FDE" w:rsidRPr="00827BDD" w:rsidRDefault="00EB1FDE">
      <w:pPr>
        <w:pStyle w:val="Textonotapie"/>
        <w:rPr>
          <w:rFonts w:ascii="Arial" w:hAnsi="Arial" w:cs="Arial"/>
        </w:rPr>
      </w:pPr>
      <w:r w:rsidRPr="00827BDD">
        <w:rPr>
          <w:rStyle w:val="Refdenotaalpie"/>
          <w:rFonts w:ascii="Arial" w:hAnsi="Arial" w:cs="Arial"/>
        </w:rPr>
        <w:footnoteRef/>
      </w:r>
      <w:r w:rsidRPr="00827BDD">
        <w:rPr>
          <w:rFonts w:ascii="Arial" w:hAnsi="Arial" w:cs="Arial"/>
        </w:rPr>
        <w:t xml:space="preserve"> Folios 50 a 58. </w:t>
      </w:r>
    </w:p>
  </w:footnote>
  <w:footnote w:id="8">
    <w:p w14:paraId="2E6FAAB4" w14:textId="77777777" w:rsidR="00EB1FDE" w:rsidRDefault="00EB1FDE">
      <w:pPr>
        <w:pStyle w:val="Textonotapie"/>
      </w:pPr>
      <w:r w:rsidRPr="00827BDD">
        <w:rPr>
          <w:rStyle w:val="Refdenotaalpie"/>
          <w:rFonts w:ascii="Arial" w:hAnsi="Arial" w:cs="Arial"/>
        </w:rPr>
        <w:footnoteRef/>
      </w:r>
      <w:r w:rsidRPr="00827BDD">
        <w:rPr>
          <w:rFonts w:ascii="Arial" w:hAnsi="Arial" w:cs="Arial"/>
        </w:rPr>
        <w:t xml:space="preserve"> Folio 59.</w:t>
      </w:r>
      <w:r>
        <w:t xml:space="preserve"> </w:t>
      </w:r>
    </w:p>
  </w:footnote>
  <w:footnote w:id="9">
    <w:p w14:paraId="0CF48832" w14:textId="77777777" w:rsidR="00EB1FDE" w:rsidRPr="0070544C" w:rsidRDefault="00EB1FDE" w:rsidP="00714086">
      <w:pPr>
        <w:pStyle w:val="Textonotapie"/>
        <w:rPr>
          <w:rFonts w:ascii="Arial" w:hAnsi="Arial" w:cs="Arial"/>
        </w:rPr>
      </w:pPr>
      <w:r w:rsidRPr="0070544C">
        <w:rPr>
          <w:rStyle w:val="Refdenotaalpie"/>
          <w:rFonts w:ascii="Arial" w:hAnsi="Arial" w:cs="Arial"/>
        </w:rPr>
        <w:footnoteRef/>
      </w:r>
      <w:r w:rsidRPr="0070544C">
        <w:rPr>
          <w:rFonts w:ascii="Arial" w:hAnsi="Arial" w:cs="Arial"/>
        </w:rPr>
        <w:t xml:space="preserve"> Reglamento interno del Consejo de Estado. </w:t>
      </w:r>
    </w:p>
  </w:footnote>
  <w:footnote w:id="10">
    <w:p w14:paraId="1C19A09C" w14:textId="77777777" w:rsidR="00EB1FDE" w:rsidRPr="00B41BDB" w:rsidRDefault="00EB1FDE" w:rsidP="00714086">
      <w:pPr>
        <w:pStyle w:val="Textonotapie"/>
        <w:jc w:val="both"/>
        <w:rPr>
          <w:rFonts w:ascii="Arial" w:hAnsi="Arial" w:cs="Arial"/>
          <w:sz w:val="24"/>
          <w:szCs w:val="24"/>
          <w:lang w:val="es-MX"/>
        </w:rPr>
      </w:pPr>
      <w:r w:rsidRPr="00B41BDB">
        <w:rPr>
          <w:rStyle w:val="Refdenotaalpie"/>
          <w:rFonts w:ascii="Arial" w:hAnsi="Arial" w:cs="Arial"/>
        </w:rPr>
        <w:footnoteRef/>
      </w:r>
      <w:r w:rsidRPr="00B41BDB">
        <w:rPr>
          <w:rStyle w:val="Refdenotaalpie"/>
          <w:rFonts w:ascii="Arial" w:hAnsi="Arial" w:cs="Arial"/>
        </w:rPr>
        <w:t xml:space="preserve"> </w:t>
      </w:r>
      <w:r w:rsidRPr="00B41BDB">
        <w:rPr>
          <w:rFonts w:ascii="Arial" w:hAnsi="Arial" w:cs="Arial"/>
        </w:rPr>
        <w:t>Sala Plena del Consejo de Estado, rad. 11001-03-15-000-2009-01328-01. Acción de tutela - Importancia jurídica. M.P. María Elizabeth García González.</w:t>
      </w:r>
      <w:r w:rsidRPr="00B41BDB">
        <w:rPr>
          <w:rFonts w:ascii="Arial" w:hAnsi="Arial" w:cs="Arial"/>
          <w:sz w:val="24"/>
          <w:szCs w:val="24"/>
        </w:rPr>
        <w:t xml:space="preserve"> </w:t>
      </w:r>
    </w:p>
  </w:footnote>
  <w:footnote w:id="11">
    <w:p w14:paraId="1E334E3A" w14:textId="77777777" w:rsidR="00EB1FDE" w:rsidRPr="00B41BDB" w:rsidRDefault="00EB1FDE" w:rsidP="00714086">
      <w:pPr>
        <w:pStyle w:val="Textonotapie"/>
        <w:jc w:val="both"/>
        <w:rPr>
          <w:rFonts w:ascii="Arial" w:hAnsi="Arial" w:cs="Arial"/>
        </w:rPr>
      </w:pPr>
      <w:r w:rsidRPr="00B41BDB">
        <w:rPr>
          <w:rStyle w:val="Refdenotaalpie"/>
          <w:rFonts w:ascii="Arial" w:hAnsi="Arial" w:cs="Arial"/>
        </w:rPr>
        <w:footnoteRef/>
      </w:r>
      <w:r w:rsidRPr="00B41BDB">
        <w:rPr>
          <w:rFonts w:ascii="Arial" w:hAnsi="Arial" w:cs="Arial"/>
        </w:rPr>
        <w:t xml:space="preserve"> El recuento de esos criterios se encuentra de páginas 13 a 50 del fallo de la Sala Plena antes reseñado. </w:t>
      </w:r>
    </w:p>
  </w:footnote>
  <w:footnote w:id="12">
    <w:p w14:paraId="314CBA79" w14:textId="77777777" w:rsidR="00EB1FDE" w:rsidRPr="00B41BDB" w:rsidRDefault="00EB1FDE" w:rsidP="00714086">
      <w:pPr>
        <w:pStyle w:val="Textonotapie"/>
        <w:jc w:val="both"/>
        <w:rPr>
          <w:rFonts w:ascii="Arial" w:hAnsi="Arial" w:cs="Arial"/>
          <w:i/>
          <w:lang w:val="es-MX"/>
        </w:rPr>
      </w:pPr>
      <w:r w:rsidRPr="00B41BDB">
        <w:rPr>
          <w:rStyle w:val="Refdenotaalpie"/>
          <w:rFonts w:ascii="Arial" w:hAnsi="Arial" w:cs="Arial"/>
        </w:rPr>
        <w:footnoteRef/>
      </w:r>
      <w:r w:rsidRPr="00B41BDB">
        <w:rPr>
          <w:rFonts w:ascii="Arial" w:hAnsi="Arial" w:cs="Arial"/>
        </w:rPr>
        <w:t xml:space="preserve"> </w:t>
      </w:r>
      <w:r w:rsidRPr="00B41BDB">
        <w:rPr>
          <w:rFonts w:ascii="Arial" w:hAnsi="Arial" w:cs="Arial"/>
          <w:i/>
          <w:lang w:val="es-MX"/>
        </w:rPr>
        <w:t>Ibídem.</w:t>
      </w:r>
    </w:p>
  </w:footnote>
  <w:footnote w:id="13">
    <w:p w14:paraId="679A7EA9" w14:textId="6C270760" w:rsidR="00EB1FDE" w:rsidRPr="00B41BDB" w:rsidRDefault="00EB1FDE" w:rsidP="00714086">
      <w:pPr>
        <w:pStyle w:val="Textonotapie"/>
        <w:jc w:val="both"/>
        <w:rPr>
          <w:rFonts w:ascii="Arial" w:hAnsi="Arial" w:cs="Arial"/>
        </w:rPr>
      </w:pPr>
      <w:r w:rsidRPr="00B41BDB">
        <w:rPr>
          <w:rStyle w:val="Refdenotaalpie"/>
          <w:rFonts w:ascii="Arial" w:hAnsi="Arial" w:cs="Arial"/>
        </w:rPr>
        <w:footnoteRef/>
      </w:r>
      <w:r w:rsidRPr="00B41BDB">
        <w:rPr>
          <w:rFonts w:ascii="Arial" w:hAnsi="Arial" w:cs="Arial"/>
        </w:rPr>
        <w:t xml:space="preserve"> Entre otras, en las sentencias T-949 de</w:t>
      </w:r>
      <w:r w:rsidR="00BC7B2E">
        <w:rPr>
          <w:rFonts w:ascii="Arial" w:hAnsi="Arial" w:cs="Arial"/>
        </w:rPr>
        <w:t xml:space="preserve"> </w:t>
      </w:r>
      <w:r w:rsidRPr="00B41BDB">
        <w:rPr>
          <w:rFonts w:ascii="Arial" w:hAnsi="Arial" w:cs="Arial"/>
        </w:rPr>
        <w:t>16 de octubre de 2003, T-774 de</w:t>
      </w:r>
      <w:r w:rsidR="00BC7B2E">
        <w:rPr>
          <w:rFonts w:ascii="Arial" w:hAnsi="Arial" w:cs="Arial"/>
        </w:rPr>
        <w:t xml:space="preserve"> </w:t>
      </w:r>
      <w:r w:rsidRPr="00B41BDB">
        <w:rPr>
          <w:rFonts w:ascii="Arial" w:hAnsi="Arial" w:cs="Arial"/>
        </w:rPr>
        <w:t xml:space="preserve">13 de agosto de 2004 y C-590 de 2005. </w:t>
      </w:r>
    </w:p>
  </w:footnote>
  <w:footnote w:id="14">
    <w:p w14:paraId="2CF9F6E8" w14:textId="77777777" w:rsidR="00EB1FDE" w:rsidRPr="00BE0E13" w:rsidRDefault="00EB1FDE" w:rsidP="00BE0E13">
      <w:pPr>
        <w:pStyle w:val="Textonotapie"/>
        <w:jc w:val="both"/>
        <w:rPr>
          <w:rFonts w:ascii="Arial" w:hAnsi="Arial"/>
        </w:rPr>
      </w:pPr>
      <w:r w:rsidRPr="00123908">
        <w:rPr>
          <w:rStyle w:val="Refdenotaalpie"/>
          <w:rFonts w:ascii="Arial" w:hAnsi="Arial" w:cs="Arial"/>
        </w:rPr>
        <w:footnoteRef/>
      </w:r>
      <w:r w:rsidRPr="00123908">
        <w:rPr>
          <w:rFonts w:ascii="Arial" w:hAnsi="Arial" w:cs="Arial"/>
        </w:rPr>
        <w:t xml:space="preserve"> De acuerdo con </w:t>
      </w:r>
      <w:r>
        <w:rPr>
          <w:rFonts w:ascii="Arial" w:hAnsi="Arial" w:cs="Arial"/>
        </w:rPr>
        <w:t xml:space="preserve">la información </w:t>
      </w:r>
      <w:r w:rsidRPr="00123908">
        <w:rPr>
          <w:rFonts w:ascii="Arial" w:hAnsi="Arial" w:cs="Arial"/>
        </w:rPr>
        <w:t>visible a folio</w:t>
      </w:r>
      <w:r>
        <w:rPr>
          <w:rFonts w:ascii="Arial" w:hAnsi="Arial" w:cs="Arial"/>
        </w:rPr>
        <w:t xml:space="preserve"> 284 del </w:t>
      </w:r>
      <w:r w:rsidRPr="00123908">
        <w:rPr>
          <w:rFonts w:ascii="Arial" w:hAnsi="Arial" w:cs="Arial"/>
        </w:rPr>
        <w:t xml:space="preserve">expediente </w:t>
      </w:r>
      <w:r>
        <w:rPr>
          <w:rFonts w:ascii="Arial" w:hAnsi="Arial" w:cs="Arial"/>
        </w:rPr>
        <w:t xml:space="preserve">del </w:t>
      </w:r>
      <w:r w:rsidRPr="00123908">
        <w:rPr>
          <w:rFonts w:ascii="Arial" w:hAnsi="Arial" w:cs="Arial"/>
        </w:rPr>
        <w:t xml:space="preserve">medio de control de reparación directa </w:t>
      </w:r>
      <w:r w:rsidRPr="00BE0E13">
        <w:rPr>
          <w:rFonts w:ascii="Arial" w:hAnsi="Arial"/>
        </w:rPr>
        <w:t>2007-00323-01</w:t>
      </w:r>
      <w:r>
        <w:rPr>
          <w:rFonts w:ascii="Arial" w:hAnsi="Arial"/>
        </w:rPr>
        <w:t xml:space="preserve">, allegado en calidad de préstamo. </w:t>
      </w:r>
    </w:p>
  </w:footnote>
  <w:footnote w:id="15">
    <w:p w14:paraId="0C81F023" w14:textId="77777777" w:rsidR="00EB1FDE" w:rsidRPr="00184D9B" w:rsidRDefault="00EB1FDE" w:rsidP="00DD29BF">
      <w:pPr>
        <w:pStyle w:val="Textonotapie"/>
        <w:contextualSpacing/>
        <w:rPr>
          <w:rFonts w:ascii="Arial" w:hAnsi="Arial" w:cs="Arial"/>
          <w:lang w:val="es-CO"/>
        </w:rPr>
      </w:pPr>
      <w:r w:rsidRPr="0054761F">
        <w:rPr>
          <w:rStyle w:val="Refdenotaalpie"/>
          <w:rFonts w:ascii="Arial" w:hAnsi="Arial" w:cs="Arial"/>
        </w:rPr>
        <w:footnoteRef/>
      </w:r>
      <w:r w:rsidRPr="0054761F">
        <w:rPr>
          <w:rFonts w:ascii="Arial" w:hAnsi="Arial" w:cs="Arial"/>
        </w:rPr>
        <w:t xml:space="preserve"> </w:t>
      </w:r>
      <w:r>
        <w:rPr>
          <w:rFonts w:ascii="Arial" w:hAnsi="Arial" w:cs="Arial"/>
        </w:rPr>
        <w:t xml:space="preserve">M.P. </w:t>
      </w:r>
      <w:r w:rsidRPr="00184D9B">
        <w:rPr>
          <w:rFonts w:ascii="Arial" w:hAnsi="Arial" w:cs="Arial"/>
          <w:lang w:val="es-CO"/>
        </w:rPr>
        <w:t>Hernán Andrade Rincón</w:t>
      </w:r>
      <w:r>
        <w:rPr>
          <w:rFonts w:ascii="Arial" w:hAnsi="Arial" w:cs="Arial"/>
          <w:lang w:val="es-CO"/>
        </w:rPr>
        <w:t xml:space="preserve">, </w:t>
      </w:r>
      <w:r>
        <w:rPr>
          <w:rFonts w:ascii="Arial" w:hAnsi="Arial" w:cs="Arial"/>
        </w:rPr>
        <w:t>r</w:t>
      </w:r>
      <w:r w:rsidRPr="0054761F">
        <w:rPr>
          <w:rFonts w:ascii="Arial" w:hAnsi="Arial" w:cs="Arial"/>
        </w:rPr>
        <w:t>ad. 50001-23-31-000-2000-30072-0</w:t>
      </w:r>
      <w:r>
        <w:rPr>
          <w:rFonts w:ascii="Arial" w:hAnsi="Arial" w:cs="Arial"/>
        </w:rPr>
        <w:t>1</w:t>
      </w:r>
      <w:r w:rsidRPr="0054761F">
        <w:rPr>
          <w:rFonts w:ascii="Arial" w:hAnsi="Arial" w:cs="Arial"/>
        </w:rPr>
        <w:t xml:space="preserve"> (33945). </w:t>
      </w:r>
    </w:p>
  </w:footnote>
  <w:footnote w:id="16">
    <w:p w14:paraId="6FE617A0" w14:textId="77777777" w:rsidR="00EB1FDE" w:rsidRPr="0054761F" w:rsidRDefault="00EB1FDE" w:rsidP="000E63F7">
      <w:pPr>
        <w:pStyle w:val="Textonotapie"/>
        <w:spacing w:after="360"/>
        <w:contextualSpacing/>
        <w:jc w:val="both"/>
        <w:rPr>
          <w:rFonts w:ascii="Arial" w:hAnsi="Arial" w:cs="Arial"/>
        </w:rPr>
      </w:pPr>
      <w:r w:rsidRPr="0054761F">
        <w:rPr>
          <w:rStyle w:val="Refdenotaalpie"/>
          <w:rFonts w:ascii="Arial" w:hAnsi="Arial" w:cs="Arial"/>
        </w:rPr>
        <w:footnoteRef/>
      </w:r>
      <w:r w:rsidRPr="0054761F">
        <w:rPr>
          <w:rFonts w:ascii="Arial" w:hAnsi="Arial" w:cs="Arial"/>
        </w:rPr>
        <w:t xml:space="preserve"> </w:t>
      </w:r>
      <w:r w:rsidRPr="0054761F">
        <w:rPr>
          <w:rFonts w:ascii="Arial" w:hAnsi="Arial" w:cs="Arial"/>
          <w:color w:val="000000" w:themeColor="text1"/>
          <w:shd w:val="clear" w:color="auto" w:fill="FFFFFF"/>
        </w:rPr>
        <w:t xml:space="preserve">Sala Plena de la Sección Tercera del Consejo de Estado, </w:t>
      </w:r>
      <w:r w:rsidRPr="0054761F">
        <w:rPr>
          <w:rFonts w:ascii="Arial" w:hAnsi="Arial" w:cs="Arial"/>
        </w:rPr>
        <w:t>M.P. Carlos Alberto Zambrano Barrera, rad. 66001-23-31-000-2010-00235 01 (46947).</w:t>
      </w:r>
    </w:p>
  </w:footnote>
  <w:footnote w:id="17">
    <w:p w14:paraId="692535B5" w14:textId="77777777" w:rsidR="00EB1FDE" w:rsidRPr="00184D9B" w:rsidRDefault="00EB1FDE" w:rsidP="00FD31C3">
      <w:pPr>
        <w:pStyle w:val="Textonotapie"/>
        <w:contextualSpacing/>
        <w:rPr>
          <w:rFonts w:ascii="Arial" w:hAnsi="Arial" w:cs="Arial"/>
          <w:lang w:val="es-CO"/>
        </w:rPr>
      </w:pPr>
      <w:r w:rsidRPr="0054761F">
        <w:rPr>
          <w:rStyle w:val="Refdenotaalpie"/>
          <w:rFonts w:ascii="Arial" w:hAnsi="Arial" w:cs="Arial"/>
        </w:rPr>
        <w:footnoteRef/>
      </w:r>
      <w:r w:rsidRPr="0054761F">
        <w:rPr>
          <w:rFonts w:ascii="Arial" w:hAnsi="Arial" w:cs="Arial"/>
        </w:rPr>
        <w:t xml:space="preserve"> </w:t>
      </w:r>
      <w:r>
        <w:rPr>
          <w:rFonts w:ascii="Arial" w:hAnsi="Arial" w:cs="Arial"/>
        </w:rPr>
        <w:t xml:space="preserve">M.P. </w:t>
      </w:r>
      <w:r w:rsidRPr="00184D9B">
        <w:rPr>
          <w:rFonts w:ascii="Arial" w:hAnsi="Arial" w:cs="Arial"/>
          <w:lang w:val="es-CO"/>
        </w:rPr>
        <w:t>Hernán Andrade Rincón</w:t>
      </w:r>
      <w:r>
        <w:rPr>
          <w:rFonts w:ascii="Arial" w:hAnsi="Arial" w:cs="Arial"/>
          <w:lang w:val="es-CO"/>
        </w:rPr>
        <w:t xml:space="preserve">, </w:t>
      </w:r>
      <w:r>
        <w:rPr>
          <w:rFonts w:ascii="Arial" w:hAnsi="Arial" w:cs="Arial"/>
        </w:rPr>
        <w:t>r</w:t>
      </w:r>
      <w:r w:rsidRPr="0054761F">
        <w:rPr>
          <w:rFonts w:ascii="Arial" w:hAnsi="Arial" w:cs="Arial"/>
        </w:rPr>
        <w:t>ad. 50001-23-31-000-2000-30072-0</w:t>
      </w:r>
      <w:r>
        <w:rPr>
          <w:rFonts w:ascii="Arial" w:hAnsi="Arial" w:cs="Arial"/>
        </w:rPr>
        <w:t>1</w:t>
      </w:r>
      <w:r w:rsidRPr="0054761F">
        <w:rPr>
          <w:rFonts w:ascii="Arial" w:hAnsi="Arial" w:cs="Arial"/>
        </w:rPr>
        <w:t xml:space="preserve"> (33945). </w:t>
      </w:r>
    </w:p>
  </w:footnote>
  <w:footnote w:id="18">
    <w:p w14:paraId="5C6108CD" w14:textId="0F482710" w:rsidR="00BC7B2E" w:rsidRDefault="00EB1FDE" w:rsidP="008175AF">
      <w:pPr>
        <w:pStyle w:val="Textonotapie"/>
        <w:jc w:val="both"/>
        <w:rPr>
          <w:rFonts w:ascii="Arial" w:hAnsi="Arial" w:cs="Arial"/>
          <w:shd w:val="clear" w:color="auto" w:fill="FFFFFF"/>
        </w:rPr>
      </w:pPr>
      <w:r w:rsidRPr="00461437">
        <w:rPr>
          <w:rStyle w:val="Refdenotaalpie"/>
          <w:rFonts w:ascii="Arial" w:hAnsi="Arial" w:cs="Arial"/>
        </w:rPr>
        <w:footnoteRef/>
      </w:r>
      <w:r w:rsidRPr="00461437">
        <w:rPr>
          <w:rFonts w:ascii="Arial" w:hAnsi="Arial" w:cs="Arial"/>
        </w:rPr>
        <w:t xml:space="preserve"> </w:t>
      </w:r>
      <w:r w:rsidRPr="00461437">
        <w:rPr>
          <w:rFonts w:ascii="Arial" w:hAnsi="Arial" w:cs="Arial"/>
          <w:shd w:val="clear" w:color="auto" w:fill="FFFFFF"/>
        </w:rPr>
        <w:t xml:space="preserve">Corte Constitucional, sentencia T-327 de 2011, reiterada en las providencias T-352 de 2012 y </w:t>
      </w:r>
      <w:r w:rsidR="00BC7B2E">
        <w:rPr>
          <w:rFonts w:ascii="Arial" w:hAnsi="Arial" w:cs="Arial"/>
          <w:shd w:val="clear" w:color="auto" w:fill="FFFFFF"/>
        </w:rPr>
        <w:t xml:space="preserve">          </w:t>
      </w:r>
      <w:r w:rsidRPr="00461437">
        <w:rPr>
          <w:rFonts w:ascii="Arial" w:hAnsi="Arial" w:cs="Arial"/>
          <w:shd w:val="clear" w:color="auto" w:fill="FFFFFF"/>
        </w:rPr>
        <w:t xml:space="preserve">T-398 de 2017. </w:t>
      </w:r>
    </w:p>
    <w:p w14:paraId="5E0F4017" w14:textId="77777777" w:rsidR="00927B4A" w:rsidRPr="00BC7B2E" w:rsidRDefault="00927B4A" w:rsidP="008175AF">
      <w:pPr>
        <w:pStyle w:val="Textonotapie"/>
        <w:jc w:val="both"/>
        <w:rPr>
          <w:rFonts w:ascii="Arial" w:hAnsi="Arial" w:cs="Arial"/>
          <w:shd w:val="clear" w:color="auto" w:fill="FFFFFF"/>
        </w:rPr>
      </w:pPr>
    </w:p>
  </w:footnote>
  <w:footnote w:id="19">
    <w:p w14:paraId="79BFE1D6" w14:textId="77777777" w:rsidR="00EB1FDE" w:rsidRPr="005F51CD" w:rsidRDefault="00EB1FDE" w:rsidP="00444562">
      <w:pPr>
        <w:pStyle w:val="Textonotapie"/>
        <w:contextualSpacing/>
        <w:jc w:val="both"/>
        <w:rPr>
          <w:rFonts w:ascii="Arial" w:hAnsi="Arial" w:cs="Arial"/>
        </w:rPr>
      </w:pPr>
      <w:r w:rsidRPr="00461437">
        <w:rPr>
          <w:rStyle w:val="Refdenotaalpie"/>
          <w:rFonts w:ascii="Arial" w:eastAsia="SimSun" w:hAnsi="Arial" w:cs="Arial"/>
        </w:rPr>
        <w:footnoteRef/>
      </w:r>
      <w:r w:rsidRPr="00461437">
        <w:rPr>
          <w:rFonts w:ascii="Arial" w:hAnsi="Arial" w:cs="Arial"/>
        </w:rPr>
        <w:t xml:space="preserve"> Consejo de Estado, Sala de lo Contencioso Administrativo, Sección Quinta, sentencia del 19 de febrero de 2015, M.P. Alberto Yepes Barreiro, rad. 2013-02690-01.</w:t>
      </w:r>
    </w:p>
  </w:footnote>
  <w:footnote w:id="20">
    <w:p w14:paraId="1AD5074A" w14:textId="3E3E613F" w:rsidR="00B54EDF" w:rsidRDefault="00EB1FDE" w:rsidP="00447F44">
      <w:pPr>
        <w:pStyle w:val="Textonotapie"/>
        <w:contextualSpacing/>
        <w:rPr>
          <w:rFonts w:ascii="Arial" w:hAnsi="Arial" w:cs="Arial"/>
        </w:rPr>
      </w:pPr>
      <w:r w:rsidRPr="0054761F">
        <w:rPr>
          <w:rStyle w:val="Refdenotaalpie"/>
          <w:rFonts w:ascii="Arial" w:hAnsi="Arial" w:cs="Arial"/>
        </w:rPr>
        <w:footnoteRef/>
      </w:r>
      <w:r w:rsidRPr="0054761F">
        <w:rPr>
          <w:rFonts w:ascii="Arial" w:hAnsi="Arial" w:cs="Arial"/>
        </w:rPr>
        <w:t xml:space="preserve"> </w:t>
      </w:r>
      <w:r>
        <w:rPr>
          <w:rFonts w:ascii="Arial" w:hAnsi="Arial" w:cs="Arial"/>
        </w:rPr>
        <w:t xml:space="preserve">M.P. </w:t>
      </w:r>
      <w:r w:rsidRPr="00184D9B">
        <w:rPr>
          <w:rFonts w:ascii="Arial" w:hAnsi="Arial" w:cs="Arial"/>
          <w:lang w:val="es-CO"/>
        </w:rPr>
        <w:t>Hernán Andrade Rincón</w:t>
      </w:r>
      <w:r>
        <w:rPr>
          <w:rFonts w:ascii="Arial" w:hAnsi="Arial" w:cs="Arial"/>
          <w:lang w:val="es-CO"/>
        </w:rPr>
        <w:t xml:space="preserve">, </w:t>
      </w:r>
      <w:r>
        <w:rPr>
          <w:rFonts w:ascii="Arial" w:hAnsi="Arial" w:cs="Arial"/>
        </w:rPr>
        <w:t>r</w:t>
      </w:r>
      <w:r w:rsidRPr="0054761F">
        <w:rPr>
          <w:rFonts w:ascii="Arial" w:hAnsi="Arial" w:cs="Arial"/>
        </w:rPr>
        <w:t>ad. 50001-23-31-000-2000-30072-0</w:t>
      </w:r>
      <w:r>
        <w:rPr>
          <w:rFonts w:ascii="Arial" w:hAnsi="Arial" w:cs="Arial"/>
        </w:rPr>
        <w:t>1</w:t>
      </w:r>
      <w:r w:rsidRPr="0054761F">
        <w:rPr>
          <w:rFonts w:ascii="Arial" w:hAnsi="Arial" w:cs="Arial"/>
        </w:rPr>
        <w:t xml:space="preserve"> (33945). </w:t>
      </w:r>
    </w:p>
    <w:p w14:paraId="7A25889F" w14:textId="77777777" w:rsidR="007B3D63" w:rsidRPr="00B54EDF" w:rsidRDefault="007B3D63" w:rsidP="00447F44">
      <w:pPr>
        <w:pStyle w:val="Textonotapie"/>
        <w:contextualSpacing/>
        <w:rPr>
          <w:rFonts w:ascii="Arial" w:hAnsi="Arial" w:cs="Aria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2B3C1" w14:textId="7B193DDC" w:rsidR="00EB1FDE" w:rsidRPr="0070023E" w:rsidRDefault="00EB1FDE">
    <w:pPr>
      <w:pStyle w:val="Encabezado"/>
      <w:rPr>
        <w:sz w:val="20"/>
        <w:szCs w:val="20"/>
      </w:rPr>
    </w:pPr>
  </w:p>
  <w:p w14:paraId="7A48D523" w14:textId="18F2FFDC" w:rsidR="00EB1FDE" w:rsidRPr="0070023E" w:rsidRDefault="00EB1FDE" w:rsidP="008D2DBC">
    <w:pPr>
      <w:pStyle w:val="Encabezado"/>
      <w:rPr>
        <w:color w:val="767171"/>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21595A"/>
    <w:multiLevelType w:val="hybridMultilevel"/>
    <w:tmpl w:val="194CC67A"/>
    <w:lvl w:ilvl="0" w:tplc="040A0001">
      <w:start w:val="1"/>
      <w:numFmt w:val="bullet"/>
      <w:lvlText w:val=""/>
      <w:lvlJc w:val="left"/>
      <w:pPr>
        <w:ind w:left="1004" w:hanging="360"/>
      </w:pPr>
      <w:rPr>
        <w:rFonts w:ascii="Symbol" w:hAnsi="Symbol" w:cs="Symbol" w:hint="default"/>
      </w:rPr>
    </w:lvl>
    <w:lvl w:ilvl="1" w:tplc="040A0003" w:tentative="1">
      <w:start w:val="1"/>
      <w:numFmt w:val="bullet"/>
      <w:lvlText w:val="o"/>
      <w:lvlJc w:val="left"/>
      <w:pPr>
        <w:ind w:left="1724" w:hanging="360"/>
      </w:pPr>
      <w:rPr>
        <w:rFonts w:ascii="Courier New" w:hAnsi="Courier New" w:cs="Courier New" w:hint="default"/>
      </w:rPr>
    </w:lvl>
    <w:lvl w:ilvl="2" w:tplc="040A0005" w:tentative="1">
      <w:start w:val="1"/>
      <w:numFmt w:val="bullet"/>
      <w:lvlText w:val=""/>
      <w:lvlJc w:val="left"/>
      <w:pPr>
        <w:ind w:left="2444" w:hanging="360"/>
      </w:pPr>
      <w:rPr>
        <w:rFonts w:ascii="Wingdings" w:hAnsi="Wingdings" w:cs="Wingdings" w:hint="default"/>
      </w:rPr>
    </w:lvl>
    <w:lvl w:ilvl="3" w:tplc="040A0001" w:tentative="1">
      <w:start w:val="1"/>
      <w:numFmt w:val="bullet"/>
      <w:lvlText w:val=""/>
      <w:lvlJc w:val="left"/>
      <w:pPr>
        <w:ind w:left="3164" w:hanging="360"/>
      </w:pPr>
      <w:rPr>
        <w:rFonts w:ascii="Symbol" w:hAnsi="Symbol" w:cs="Symbol" w:hint="default"/>
      </w:rPr>
    </w:lvl>
    <w:lvl w:ilvl="4" w:tplc="040A0003" w:tentative="1">
      <w:start w:val="1"/>
      <w:numFmt w:val="bullet"/>
      <w:lvlText w:val="o"/>
      <w:lvlJc w:val="left"/>
      <w:pPr>
        <w:ind w:left="3884" w:hanging="360"/>
      </w:pPr>
      <w:rPr>
        <w:rFonts w:ascii="Courier New" w:hAnsi="Courier New" w:cs="Courier New" w:hint="default"/>
      </w:rPr>
    </w:lvl>
    <w:lvl w:ilvl="5" w:tplc="040A0005" w:tentative="1">
      <w:start w:val="1"/>
      <w:numFmt w:val="bullet"/>
      <w:lvlText w:val=""/>
      <w:lvlJc w:val="left"/>
      <w:pPr>
        <w:ind w:left="4604" w:hanging="360"/>
      </w:pPr>
      <w:rPr>
        <w:rFonts w:ascii="Wingdings" w:hAnsi="Wingdings" w:cs="Wingdings" w:hint="default"/>
      </w:rPr>
    </w:lvl>
    <w:lvl w:ilvl="6" w:tplc="040A0001" w:tentative="1">
      <w:start w:val="1"/>
      <w:numFmt w:val="bullet"/>
      <w:lvlText w:val=""/>
      <w:lvlJc w:val="left"/>
      <w:pPr>
        <w:ind w:left="5324" w:hanging="360"/>
      </w:pPr>
      <w:rPr>
        <w:rFonts w:ascii="Symbol" w:hAnsi="Symbol" w:cs="Symbol" w:hint="default"/>
      </w:rPr>
    </w:lvl>
    <w:lvl w:ilvl="7" w:tplc="040A0003" w:tentative="1">
      <w:start w:val="1"/>
      <w:numFmt w:val="bullet"/>
      <w:lvlText w:val="o"/>
      <w:lvlJc w:val="left"/>
      <w:pPr>
        <w:ind w:left="6044" w:hanging="360"/>
      </w:pPr>
      <w:rPr>
        <w:rFonts w:ascii="Courier New" w:hAnsi="Courier New" w:cs="Courier New" w:hint="default"/>
      </w:rPr>
    </w:lvl>
    <w:lvl w:ilvl="8" w:tplc="040A0005" w:tentative="1">
      <w:start w:val="1"/>
      <w:numFmt w:val="bullet"/>
      <w:lvlText w:val=""/>
      <w:lvlJc w:val="left"/>
      <w:pPr>
        <w:ind w:left="6764"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086"/>
    <w:rsid w:val="00004A5E"/>
    <w:rsid w:val="00016F2D"/>
    <w:rsid w:val="00033646"/>
    <w:rsid w:val="000353BA"/>
    <w:rsid w:val="00035F76"/>
    <w:rsid w:val="000375B3"/>
    <w:rsid w:val="00037617"/>
    <w:rsid w:val="00043D29"/>
    <w:rsid w:val="00050B0B"/>
    <w:rsid w:val="00062F9B"/>
    <w:rsid w:val="00076525"/>
    <w:rsid w:val="00082801"/>
    <w:rsid w:val="000830F2"/>
    <w:rsid w:val="000A6B98"/>
    <w:rsid w:val="000B03FE"/>
    <w:rsid w:val="000C126C"/>
    <w:rsid w:val="000C592C"/>
    <w:rsid w:val="000C63D0"/>
    <w:rsid w:val="000D1832"/>
    <w:rsid w:val="000E2C7D"/>
    <w:rsid w:val="000E5FAA"/>
    <w:rsid w:val="000E63F7"/>
    <w:rsid w:val="000F0B40"/>
    <w:rsid w:val="0010566C"/>
    <w:rsid w:val="001057F3"/>
    <w:rsid w:val="0011326E"/>
    <w:rsid w:val="00115B5E"/>
    <w:rsid w:val="00117595"/>
    <w:rsid w:val="00117B9A"/>
    <w:rsid w:val="00126483"/>
    <w:rsid w:val="00142509"/>
    <w:rsid w:val="0014308E"/>
    <w:rsid w:val="00147FF9"/>
    <w:rsid w:val="00157551"/>
    <w:rsid w:val="00161D5F"/>
    <w:rsid w:val="001779D1"/>
    <w:rsid w:val="00181BA8"/>
    <w:rsid w:val="00184D9B"/>
    <w:rsid w:val="001900F7"/>
    <w:rsid w:val="001906B0"/>
    <w:rsid w:val="00192B0F"/>
    <w:rsid w:val="00194EF5"/>
    <w:rsid w:val="001B7161"/>
    <w:rsid w:val="001C4DE3"/>
    <w:rsid w:val="001D30B4"/>
    <w:rsid w:val="001D4410"/>
    <w:rsid w:val="001E0028"/>
    <w:rsid w:val="001E7705"/>
    <w:rsid w:val="00202BE2"/>
    <w:rsid w:val="00203C2D"/>
    <w:rsid w:val="002074F7"/>
    <w:rsid w:val="00213867"/>
    <w:rsid w:val="00214F63"/>
    <w:rsid w:val="0023163B"/>
    <w:rsid w:val="0024168D"/>
    <w:rsid w:val="00245FEF"/>
    <w:rsid w:val="00250226"/>
    <w:rsid w:val="0025452F"/>
    <w:rsid w:val="0028362B"/>
    <w:rsid w:val="002B7C46"/>
    <w:rsid w:val="002C3416"/>
    <w:rsid w:val="002D0B15"/>
    <w:rsid w:val="002D1F81"/>
    <w:rsid w:val="002E1BCB"/>
    <w:rsid w:val="002E587E"/>
    <w:rsid w:val="002F1EC0"/>
    <w:rsid w:val="00306CC6"/>
    <w:rsid w:val="0031384C"/>
    <w:rsid w:val="00320549"/>
    <w:rsid w:val="0032396D"/>
    <w:rsid w:val="0034176A"/>
    <w:rsid w:val="00341922"/>
    <w:rsid w:val="00343A88"/>
    <w:rsid w:val="00346BF3"/>
    <w:rsid w:val="003528E0"/>
    <w:rsid w:val="00352B66"/>
    <w:rsid w:val="003532FF"/>
    <w:rsid w:val="003629A4"/>
    <w:rsid w:val="003713EB"/>
    <w:rsid w:val="00374562"/>
    <w:rsid w:val="0037567C"/>
    <w:rsid w:val="00387347"/>
    <w:rsid w:val="00397989"/>
    <w:rsid w:val="003A7186"/>
    <w:rsid w:val="003B1122"/>
    <w:rsid w:val="003B47BD"/>
    <w:rsid w:val="003C5E7B"/>
    <w:rsid w:val="003D31E5"/>
    <w:rsid w:val="003F31FE"/>
    <w:rsid w:val="003F4AD5"/>
    <w:rsid w:val="004078BB"/>
    <w:rsid w:val="00424910"/>
    <w:rsid w:val="00444562"/>
    <w:rsid w:val="00447F44"/>
    <w:rsid w:val="00453CFC"/>
    <w:rsid w:val="004548A5"/>
    <w:rsid w:val="00461437"/>
    <w:rsid w:val="004705D9"/>
    <w:rsid w:val="00473A39"/>
    <w:rsid w:val="004A48B3"/>
    <w:rsid w:val="004A539E"/>
    <w:rsid w:val="004A581B"/>
    <w:rsid w:val="004A5B5B"/>
    <w:rsid w:val="004A7262"/>
    <w:rsid w:val="004E0379"/>
    <w:rsid w:val="004E31AB"/>
    <w:rsid w:val="004E4921"/>
    <w:rsid w:val="004E63B5"/>
    <w:rsid w:val="004F3D2E"/>
    <w:rsid w:val="004F787D"/>
    <w:rsid w:val="0050226D"/>
    <w:rsid w:val="005064F9"/>
    <w:rsid w:val="00516F43"/>
    <w:rsid w:val="00522CAF"/>
    <w:rsid w:val="00530AB3"/>
    <w:rsid w:val="00534E97"/>
    <w:rsid w:val="00544CBB"/>
    <w:rsid w:val="0054761F"/>
    <w:rsid w:val="00565748"/>
    <w:rsid w:val="005A23A3"/>
    <w:rsid w:val="005C0C92"/>
    <w:rsid w:val="005C6CCB"/>
    <w:rsid w:val="005D2397"/>
    <w:rsid w:val="005E48BA"/>
    <w:rsid w:val="005E5C57"/>
    <w:rsid w:val="006212F4"/>
    <w:rsid w:val="006227ED"/>
    <w:rsid w:val="00645BD7"/>
    <w:rsid w:val="00657290"/>
    <w:rsid w:val="0065771B"/>
    <w:rsid w:val="00657CF5"/>
    <w:rsid w:val="00666102"/>
    <w:rsid w:val="00671AD3"/>
    <w:rsid w:val="0067328A"/>
    <w:rsid w:val="00673920"/>
    <w:rsid w:val="0067437C"/>
    <w:rsid w:val="00674B2E"/>
    <w:rsid w:val="0067778D"/>
    <w:rsid w:val="006A7F70"/>
    <w:rsid w:val="006C79C7"/>
    <w:rsid w:val="006D15C0"/>
    <w:rsid w:val="006E22A0"/>
    <w:rsid w:val="006F0053"/>
    <w:rsid w:val="007027D6"/>
    <w:rsid w:val="00703D3D"/>
    <w:rsid w:val="00704790"/>
    <w:rsid w:val="00710BB1"/>
    <w:rsid w:val="00710CCF"/>
    <w:rsid w:val="00712B98"/>
    <w:rsid w:val="0071310F"/>
    <w:rsid w:val="00714086"/>
    <w:rsid w:val="007240CF"/>
    <w:rsid w:val="00736BE3"/>
    <w:rsid w:val="0074594C"/>
    <w:rsid w:val="00763796"/>
    <w:rsid w:val="00770E3E"/>
    <w:rsid w:val="007711E2"/>
    <w:rsid w:val="00796EEC"/>
    <w:rsid w:val="00797775"/>
    <w:rsid w:val="007A3DA6"/>
    <w:rsid w:val="007B1B7D"/>
    <w:rsid w:val="007B1D4E"/>
    <w:rsid w:val="007B3D63"/>
    <w:rsid w:val="007B3F43"/>
    <w:rsid w:val="007B45A3"/>
    <w:rsid w:val="007C109F"/>
    <w:rsid w:val="007C673F"/>
    <w:rsid w:val="007E2269"/>
    <w:rsid w:val="007E22F8"/>
    <w:rsid w:val="007E23C5"/>
    <w:rsid w:val="007E4845"/>
    <w:rsid w:val="007E7C8C"/>
    <w:rsid w:val="007F357B"/>
    <w:rsid w:val="007F785E"/>
    <w:rsid w:val="0080771C"/>
    <w:rsid w:val="00813806"/>
    <w:rsid w:val="00815329"/>
    <w:rsid w:val="008175AF"/>
    <w:rsid w:val="00827BDD"/>
    <w:rsid w:val="00833711"/>
    <w:rsid w:val="008375A9"/>
    <w:rsid w:val="00842AD5"/>
    <w:rsid w:val="00845BE6"/>
    <w:rsid w:val="00846216"/>
    <w:rsid w:val="00847686"/>
    <w:rsid w:val="00861C31"/>
    <w:rsid w:val="00863D65"/>
    <w:rsid w:val="00864937"/>
    <w:rsid w:val="0087461A"/>
    <w:rsid w:val="008950A4"/>
    <w:rsid w:val="008A4D78"/>
    <w:rsid w:val="008B51B5"/>
    <w:rsid w:val="008B59BA"/>
    <w:rsid w:val="008D2DBC"/>
    <w:rsid w:val="008D3AEF"/>
    <w:rsid w:val="008E25A7"/>
    <w:rsid w:val="008F1D21"/>
    <w:rsid w:val="008F31C7"/>
    <w:rsid w:val="008F7F7C"/>
    <w:rsid w:val="00902B18"/>
    <w:rsid w:val="00916BF3"/>
    <w:rsid w:val="009220D6"/>
    <w:rsid w:val="00927B4A"/>
    <w:rsid w:val="00932251"/>
    <w:rsid w:val="00934952"/>
    <w:rsid w:val="00940179"/>
    <w:rsid w:val="0094772D"/>
    <w:rsid w:val="009625A0"/>
    <w:rsid w:val="00962844"/>
    <w:rsid w:val="009739FA"/>
    <w:rsid w:val="00984839"/>
    <w:rsid w:val="00990D10"/>
    <w:rsid w:val="009940FE"/>
    <w:rsid w:val="009971AF"/>
    <w:rsid w:val="009C661C"/>
    <w:rsid w:val="009D43F9"/>
    <w:rsid w:val="009D6D63"/>
    <w:rsid w:val="009E4169"/>
    <w:rsid w:val="009F2E1E"/>
    <w:rsid w:val="00A01345"/>
    <w:rsid w:val="00A017DB"/>
    <w:rsid w:val="00A11DC9"/>
    <w:rsid w:val="00A25ECE"/>
    <w:rsid w:val="00A30106"/>
    <w:rsid w:val="00A356F9"/>
    <w:rsid w:val="00A3770E"/>
    <w:rsid w:val="00A43DC9"/>
    <w:rsid w:val="00A463FC"/>
    <w:rsid w:val="00A577CE"/>
    <w:rsid w:val="00A63DF6"/>
    <w:rsid w:val="00A64413"/>
    <w:rsid w:val="00A65379"/>
    <w:rsid w:val="00A8796F"/>
    <w:rsid w:val="00AA720C"/>
    <w:rsid w:val="00AC0B29"/>
    <w:rsid w:val="00AC2451"/>
    <w:rsid w:val="00AC2648"/>
    <w:rsid w:val="00AD50E1"/>
    <w:rsid w:val="00AD66AF"/>
    <w:rsid w:val="00AD751D"/>
    <w:rsid w:val="00AE32CF"/>
    <w:rsid w:val="00AE571A"/>
    <w:rsid w:val="00AF25A0"/>
    <w:rsid w:val="00AF34AF"/>
    <w:rsid w:val="00B00ECE"/>
    <w:rsid w:val="00B01843"/>
    <w:rsid w:val="00B0302A"/>
    <w:rsid w:val="00B2011B"/>
    <w:rsid w:val="00B204BE"/>
    <w:rsid w:val="00B20DDF"/>
    <w:rsid w:val="00B24CA3"/>
    <w:rsid w:val="00B53408"/>
    <w:rsid w:val="00B54EDF"/>
    <w:rsid w:val="00B579E2"/>
    <w:rsid w:val="00B62FDF"/>
    <w:rsid w:val="00B63C1B"/>
    <w:rsid w:val="00B74436"/>
    <w:rsid w:val="00B86506"/>
    <w:rsid w:val="00B96EB0"/>
    <w:rsid w:val="00BA0510"/>
    <w:rsid w:val="00BC61E3"/>
    <w:rsid w:val="00BC7B2E"/>
    <w:rsid w:val="00BC7EAB"/>
    <w:rsid w:val="00BE0187"/>
    <w:rsid w:val="00BE0E13"/>
    <w:rsid w:val="00BE32A7"/>
    <w:rsid w:val="00BF17B5"/>
    <w:rsid w:val="00BF637E"/>
    <w:rsid w:val="00BF63E4"/>
    <w:rsid w:val="00BF774B"/>
    <w:rsid w:val="00C06FAD"/>
    <w:rsid w:val="00C07D13"/>
    <w:rsid w:val="00C116A7"/>
    <w:rsid w:val="00C22062"/>
    <w:rsid w:val="00C5095E"/>
    <w:rsid w:val="00C530B7"/>
    <w:rsid w:val="00C64830"/>
    <w:rsid w:val="00C72BFE"/>
    <w:rsid w:val="00C73D74"/>
    <w:rsid w:val="00C8027C"/>
    <w:rsid w:val="00C81EEF"/>
    <w:rsid w:val="00C826E9"/>
    <w:rsid w:val="00C875A7"/>
    <w:rsid w:val="00C911EB"/>
    <w:rsid w:val="00C96CC4"/>
    <w:rsid w:val="00CA5BCD"/>
    <w:rsid w:val="00CB3C9B"/>
    <w:rsid w:val="00CC0923"/>
    <w:rsid w:val="00CD3E90"/>
    <w:rsid w:val="00CE3BB2"/>
    <w:rsid w:val="00CE5B41"/>
    <w:rsid w:val="00CE5D16"/>
    <w:rsid w:val="00CE6480"/>
    <w:rsid w:val="00CF71A1"/>
    <w:rsid w:val="00D03C9D"/>
    <w:rsid w:val="00D11B9E"/>
    <w:rsid w:val="00D14F7E"/>
    <w:rsid w:val="00D20D52"/>
    <w:rsid w:val="00D40A12"/>
    <w:rsid w:val="00D45AE8"/>
    <w:rsid w:val="00D55282"/>
    <w:rsid w:val="00D71155"/>
    <w:rsid w:val="00D7141B"/>
    <w:rsid w:val="00D81322"/>
    <w:rsid w:val="00D83DCC"/>
    <w:rsid w:val="00D97F3F"/>
    <w:rsid w:val="00DA74DB"/>
    <w:rsid w:val="00DC4144"/>
    <w:rsid w:val="00DD29BF"/>
    <w:rsid w:val="00DD3045"/>
    <w:rsid w:val="00DE7B81"/>
    <w:rsid w:val="00E33615"/>
    <w:rsid w:val="00E3458E"/>
    <w:rsid w:val="00E56391"/>
    <w:rsid w:val="00E606E3"/>
    <w:rsid w:val="00E61B7B"/>
    <w:rsid w:val="00E620A3"/>
    <w:rsid w:val="00E6598C"/>
    <w:rsid w:val="00E66090"/>
    <w:rsid w:val="00E869DA"/>
    <w:rsid w:val="00E87934"/>
    <w:rsid w:val="00EB1FDE"/>
    <w:rsid w:val="00EC5E51"/>
    <w:rsid w:val="00EE0406"/>
    <w:rsid w:val="00EE0F45"/>
    <w:rsid w:val="00EE1396"/>
    <w:rsid w:val="00EE2180"/>
    <w:rsid w:val="00EE2BCA"/>
    <w:rsid w:val="00F27EA9"/>
    <w:rsid w:val="00F34CED"/>
    <w:rsid w:val="00F36BAE"/>
    <w:rsid w:val="00F423CF"/>
    <w:rsid w:val="00F46607"/>
    <w:rsid w:val="00F53541"/>
    <w:rsid w:val="00F53BAF"/>
    <w:rsid w:val="00F66CDD"/>
    <w:rsid w:val="00F713CD"/>
    <w:rsid w:val="00F77457"/>
    <w:rsid w:val="00F812BD"/>
    <w:rsid w:val="00F85866"/>
    <w:rsid w:val="00F85986"/>
    <w:rsid w:val="00F876D1"/>
    <w:rsid w:val="00F87C75"/>
    <w:rsid w:val="00F90FA6"/>
    <w:rsid w:val="00F93072"/>
    <w:rsid w:val="00F97E79"/>
    <w:rsid w:val="00FA2195"/>
    <w:rsid w:val="00FA7F2C"/>
    <w:rsid w:val="00FA7FD0"/>
    <w:rsid w:val="00FB1A43"/>
    <w:rsid w:val="00FB2C66"/>
    <w:rsid w:val="00FB4295"/>
    <w:rsid w:val="00FB7520"/>
    <w:rsid w:val="00FD31C3"/>
    <w:rsid w:val="00FE170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DF1C1A"/>
  <w15:chartTrackingRefBased/>
  <w15:docId w15:val="{2D29CC3C-8373-F845-BD18-58F6519A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4086"/>
    <w:pPr>
      <w:jc w:val="both"/>
    </w:pPr>
    <w:rPr>
      <w:rFonts w:ascii="Verdana" w:eastAsia="Calibri" w:hAnsi="Verdana" w:cs="Arial"/>
      <w:lang w:val="es-ES"/>
    </w:rPr>
  </w:style>
  <w:style w:type="paragraph" w:styleId="Ttulo2">
    <w:name w:val="heading 2"/>
    <w:basedOn w:val="Normal"/>
    <w:next w:val="Normal"/>
    <w:link w:val="Ttulo2Car"/>
    <w:uiPriority w:val="9"/>
    <w:semiHidden/>
    <w:unhideWhenUsed/>
    <w:qFormat/>
    <w:rsid w:val="00184D9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4086"/>
    <w:pPr>
      <w:tabs>
        <w:tab w:val="center" w:pos="4252"/>
        <w:tab w:val="right" w:pos="8504"/>
      </w:tabs>
    </w:pPr>
  </w:style>
  <w:style w:type="character" w:customStyle="1" w:styleId="EncabezadoCar">
    <w:name w:val="Encabezado Car"/>
    <w:basedOn w:val="Fuentedeprrafopredeter"/>
    <w:link w:val="Encabezado"/>
    <w:uiPriority w:val="99"/>
    <w:rsid w:val="00714086"/>
    <w:rPr>
      <w:rFonts w:ascii="Verdana" w:eastAsia="Calibri" w:hAnsi="Verdana" w:cs="Arial"/>
      <w:lang w:val="es-ES"/>
    </w:rPr>
  </w:style>
  <w:style w:type="paragraph" w:styleId="Piedepgina">
    <w:name w:val="footer"/>
    <w:basedOn w:val="Normal"/>
    <w:link w:val="PiedepginaCar"/>
    <w:uiPriority w:val="99"/>
    <w:unhideWhenUsed/>
    <w:rsid w:val="00714086"/>
    <w:pPr>
      <w:tabs>
        <w:tab w:val="center" w:pos="4252"/>
        <w:tab w:val="right" w:pos="8504"/>
      </w:tabs>
    </w:pPr>
  </w:style>
  <w:style w:type="character" w:customStyle="1" w:styleId="PiedepginaCar">
    <w:name w:val="Pie de página Car"/>
    <w:basedOn w:val="Fuentedeprrafopredeter"/>
    <w:link w:val="Piedepgina"/>
    <w:uiPriority w:val="99"/>
    <w:rsid w:val="00714086"/>
    <w:rPr>
      <w:rFonts w:ascii="Verdana" w:eastAsia="Calibri" w:hAnsi="Verdana" w:cs="Arial"/>
      <w:lang w:val="es-E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nota pie Car Car,FA Fu Car Car"/>
    <w:basedOn w:val="Normal"/>
    <w:link w:val="TextonotapieCar"/>
    <w:unhideWhenUsed/>
    <w:qFormat/>
    <w:rsid w:val="00714086"/>
    <w:pPr>
      <w:jc w:val="left"/>
    </w:pPr>
    <w:rPr>
      <w:rFonts w:ascii="Calibri" w:hAnsi="Calibri" w:cs="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FA Fu Car Car Car"/>
    <w:basedOn w:val="Fuentedeprrafopredeter"/>
    <w:link w:val="Textonotapie"/>
    <w:qFormat/>
    <w:rsid w:val="00714086"/>
    <w:rPr>
      <w:rFonts w:ascii="Calibri" w:eastAsia="Calibri" w:hAnsi="Calibri" w:cs="Times New Roman"/>
      <w:sz w:val="20"/>
      <w:szCs w:val="20"/>
      <w:lang w:val="es-ES"/>
    </w:rPr>
  </w:style>
  <w:style w:type="character" w:styleId="Refdenotaalpie">
    <w:name w:val="footnote reference"/>
    <w:aliases w:val="Ref. de nota al pie 2,Texto de nota al pie,Appel note de bas de page,Footnotes refss,Footnote number,referencia nota al pie,BVI fnr,f,4_G,16 Point,Superscript 6 Point,Texto nota al pie,Pie de Página,FC,Texto de nota al pi,Pie de Pàgi"/>
    <w:link w:val="4GChar"/>
    <w:unhideWhenUsed/>
    <w:qFormat/>
    <w:rsid w:val="00714086"/>
    <w:rPr>
      <w:vertAlign w:val="superscript"/>
    </w:rPr>
  </w:style>
  <w:style w:type="paragraph" w:styleId="Prrafodelista">
    <w:name w:val="List Paragraph"/>
    <w:basedOn w:val="Normal"/>
    <w:uiPriority w:val="34"/>
    <w:qFormat/>
    <w:rsid w:val="00714086"/>
    <w:pPr>
      <w:ind w:left="708"/>
    </w:pPr>
    <w:rPr>
      <w:rFonts w:ascii="Times New Roman" w:eastAsia="Times New Roman" w:hAnsi="Times New Roman" w:cs="Times New Roman"/>
      <w:lang w:eastAsia="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714086"/>
    <w:rPr>
      <w:rFonts w:asciiTheme="minorHAnsi" w:eastAsiaTheme="minorHAnsi" w:hAnsiTheme="minorHAnsi" w:cstheme="minorBidi"/>
      <w:vertAlign w:val="superscript"/>
      <w:lang w:val="es-CO"/>
    </w:rPr>
  </w:style>
  <w:style w:type="paragraph" w:styleId="Textodeglobo">
    <w:name w:val="Balloon Text"/>
    <w:basedOn w:val="Normal"/>
    <w:link w:val="TextodegloboCar"/>
    <w:uiPriority w:val="99"/>
    <w:semiHidden/>
    <w:unhideWhenUsed/>
    <w:rsid w:val="00932251"/>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32251"/>
    <w:rPr>
      <w:rFonts w:ascii="Times New Roman" w:eastAsia="Calibri" w:hAnsi="Times New Roman" w:cs="Times New Roman"/>
      <w:sz w:val="18"/>
      <w:szCs w:val="18"/>
      <w:lang w:val="es-ES"/>
    </w:rPr>
  </w:style>
  <w:style w:type="paragraph" w:styleId="NormalWeb">
    <w:name w:val="Normal (Web)"/>
    <w:basedOn w:val="Normal"/>
    <w:uiPriority w:val="99"/>
    <w:unhideWhenUsed/>
    <w:rsid w:val="006E22A0"/>
    <w:pPr>
      <w:spacing w:before="100" w:beforeAutospacing="1" w:after="100" w:afterAutospacing="1"/>
      <w:jc w:val="left"/>
    </w:pPr>
    <w:rPr>
      <w:rFonts w:ascii="Times New Roman" w:eastAsia="Times New Roman" w:hAnsi="Times New Roman" w:cs="Times New Roman"/>
      <w:lang w:val="es-CO" w:eastAsia="es-ES_tradnl"/>
    </w:rPr>
  </w:style>
  <w:style w:type="character" w:customStyle="1" w:styleId="Ttulo2Car">
    <w:name w:val="Título 2 Car"/>
    <w:basedOn w:val="Fuentedeprrafopredeter"/>
    <w:link w:val="Ttulo2"/>
    <w:uiPriority w:val="9"/>
    <w:semiHidden/>
    <w:rsid w:val="00184D9B"/>
    <w:rPr>
      <w:rFonts w:asciiTheme="majorHAnsi" w:eastAsiaTheme="majorEastAsia" w:hAnsiTheme="majorHAnsi" w:cstheme="majorBidi"/>
      <w:color w:val="2F5496" w:themeColor="accent1" w:themeShade="BF"/>
      <w:sz w:val="26"/>
      <w:szCs w:val="26"/>
      <w:lang w:val="es-ES"/>
    </w:rPr>
  </w:style>
  <w:style w:type="character" w:customStyle="1" w:styleId="apple-converted-space">
    <w:name w:val="apple-converted-space"/>
    <w:basedOn w:val="Fuentedeprrafopredeter"/>
    <w:rsid w:val="008B59BA"/>
  </w:style>
  <w:style w:type="character" w:styleId="Refdecomentario">
    <w:name w:val="annotation reference"/>
    <w:basedOn w:val="Fuentedeprrafopredeter"/>
    <w:uiPriority w:val="99"/>
    <w:semiHidden/>
    <w:unhideWhenUsed/>
    <w:rsid w:val="005064F9"/>
    <w:rPr>
      <w:sz w:val="16"/>
      <w:szCs w:val="16"/>
    </w:rPr>
  </w:style>
  <w:style w:type="paragraph" w:styleId="Textocomentario">
    <w:name w:val="annotation text"/>
    <w:basedOn w:val="Normal"/>
    <w:link w:val="TextocomentarioCar"/>
    <w:uiPriority w:val="99"/>
    <w:semiHidden/>
    <w:unhideWhenUsed/>
    <w:rsid w:val="005064F9"/>
    <w:rPr>
      <w:sz w:val="20"/>
      <w:szCs w:val="20"/>
    </w:rPr>
  </w:style>
  <w:style w:type="character" w:customStyle="1" w:styleId="TextocomentarioCar">
    <w:name w:val="Texto comentario Car"/>
    <w:basedOn w:val="Fuentedeprrafopredeter"/>
    <w:link w:val="Textocomentario"/>
    <w:uiPriority w:val="99"/>
    <w:semiHidden/>
    <w:rsid w:val="005064F9"/>
    <w:rPr>
      <w:rFonts w:ascii="Verdana" w:eastAsia="Calibri" w:hAnsi="Verdana"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5064F9"/>
    <w:rPr>
      <w:b/>
      <w:bCs/>
    </w:rPr>
  </w:style>
  <w:style w:type="character" w:customStyle="1" w:styleId="AsuntodelcomentarioCar">
    <w:name w:val="Asunto del comentario Car"/>
    <w:basedOn w:val="TextocomentarioCar"/>
    <w:link w:val="Asuntodelcomentario"/>
    <w:uiPriority w:val="99"/>
    <w:semiHidden/>
    <w:rsid w:val="005064F9"/>
    <w:rPr>
      <w:rFonts w:ascii="Verdana" w:eastAsia="Calibri" w:hAnsi="Verdana" w:cs="Arial"/>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3719">
      <w:bodyDiv w:val="1"/>
      <w:marLeft w:val="0"/>
      <w:marRight w:val="0"/>
      <w:marTop w:val="0"/>
      <w:marBottom w:val="0"/>
      <w:divBdr>
        <w:top w:val="none" w:sz="0" w:space="0" w:color="auto"/>
        <w:left w:val="none" w:sz="0" w:space="0" w:color="auto"/>
        <w:bottom w:val="none" w:sz="0" w:space="0" w:color="auto"/>
        <w:right w:val="none" w:sz="0" w:space="0" w:color="auto"/>
      </w:divBdr>
      <w:divsChild>
        <w:div w:id="2107267575">
          <w:marLeft w:val="0"/>
          <w:marRight w:val="0"/>
          <w:marTop w:val="0"/>
          <w:marBottom w:val="0"/>
          <w:divBdr>
            <w:top w:val="none" w:sz="0" w:space="0" w:color="auto"/>
            <w:left w:val="none" w:sz="0" w:space="0" w:color="auto"/>
            <w:bottom w:val="none" w:sz="0" w:space="0" w:color="auto"/>
            <w:right w:val="none" w:sz="0" w:space="0" w:color="auto"/>
          </w:divBdr>
          <w:divsChild>
            <w:div w:id="890389322">
              <w:marLeft w:val="0"/>
              <w:marRight w:val="0"/>
              <w:marTop w:val="0"/>
              <w:marBottom w:val="0"/>
              <w:divBdr>
                <w:top w:val="none" w:sz="0" w:space="0" w:color="auto"/>
                <w:left w:val="none" w:sz="0" w:space="0" w:color="auto"/>
                <w:bottom w:val="none" w:sz="0" w:space="0" w:color="auto"/>
                <w:right w:val="none" w:sz="0" w:space="0" w:color="auto"/>
              </w:divBdr>
              <w:divsChild>
                <w:div w:id="8133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8305">
      <w:bodyDiv w:val="1"/>
      <w:marLeft w:val="0"/>
      <w:marRight w:val="0"/>
      <w:marTop w:val="0"/>
      <w:marBottom w:val="0"/>
      <w:divBdr>
        <w:top w:val="none" w:sz="0" w:space="0" w:color="auto"/>
        <w:left w:val="none" w:sz="0" w:space="0" w:color="auto"/>
        <w:bottom w:val="none" w:sz="0" w:space="0" w:color="auto"/>
        <w:right w:val="none" w:sz="0" w:space="0" w:color="auto"/>
      </w:divBdr>
      <w:divsChild>
        <w:div w:id="1536236499">
          <w:marLeft w:val="0"/>
          <w:marRight w:val="0"/>
          <w:marTop w:val="0"/>
          <w:marBottom w:val="0"/>
          <w:divBdr>
            <w:top w:val="none" w:sz="0" w:space="0" w:color="auto"/>
            <w:left w:val="none" w:sz="0" w:space="0" w:color="auto"/>
            <w:bottom w:val="none" w:sz="0" w:space="0" w:color="auto"/>
            <w:right w:val="none" w:sz="0" w:space="0" w:color="auto"/>
          </w:divBdr>
          <w:divsChild>
            <w:div w:id="1441682807">
              <w:marLeft w:val="0"/>
              <w:marRight w:val="0"/>
              <w:marTop w:val="0"/>
              <w:marBottom w:val="0"/>
              <w:divBdr>
                <w:top w:val="none" w:sz="0" w:space="0" w:color="auto"/>
                <w:left w:val="none" w:sz="0" w:space="0" w:color="auto"/>
                <w:bottom w:val="none" w:sz="0" w:space="0" w:color="auto"/>
                <w:right w:val="none" w:sz="0" w:space="0" w:color="auto"/>
              </w:divBdr>
              <w:divsChild>
                <w:div w:id="17816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20342">
      <w:bodyDiv w:val="1"/>
      <w:marLeft w:val="0"/>
      <w:marRight w:val="0"/>
      <w:marTop w:val="0"/>
      <w:marBottom w:val="0"/>
      <w:divBdr>
        <w:top w:val="none" w:sz="0" w:space="0" w:color="auto"/>
        <w:left w:val="none" w:sz="0" w:space="0" w:color="auto"/>
        <w:bottom w:val="none" w:sz="0" w:space="0" w:color="auto"/>
        <w:right w:val="none" w:sz="0" w:space="0" w:color="auto"/>
      </w:divBdr>
      <w:divsChild>
        <w:div w:id="676494455">
          <w:marLeft w:val="0"/>
          <w:marRight w:val="0"/>
          <w:marTop w:val="0"/>
          <w:marBottom w:val="0"/>
          <w:divBdr>
            <w:top w:val="none" w:sz="0" w:space="0" w:color="auto"/>
            <w:left w:val="none" w:sz="0" w:space="0" w:color="auto"/>
            <w:bottom w:val="none" w:sz="0" w:space="0" w:color="auto"/>
            <w:right w:val="none" w:sz="0" w:space="0" w:color="auto"/>
          </w:divBdr>
          <w:divsChild>
            <w:div w:id="1193684336">
              <w:marLeft w:val="0"/>
              <w:marRight w:val="0"/>
              <w:marTop w:val="0"/>
              <w:marBottom w:val="0"/>
              <w:divBdr>
                <w:top w:val="none" w:sz="0" w:space="0" w:color="auto"/>
                <w:left w:val="none" w:sz="0" w:space="0" w:color="auto"/>
                <w:bottom w:val="none" w:sz="0" w:space="0" w:color="auto"/>
                <w:right w:val="none" w:sz="0" w:space="0" w:color="auto"/>
              </w:divBdr>
              <w:divsChild>
                <w:div w:id="2030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42294">
      <w:bodyDiv w:val="1"/>
      <w:marLeft w:val="0"/>
      <w:marRight w:val="0"/>
      <w:marTop w:val="0"/>
      <w:marBottom w:val="0"/>
      <w:divBdr>
        <w:top w:val="none" w:sz="0" w:space="0" w:color="auto"/>
        <w:left w:val="none" w:sz="0" w:space="0" w:color="auto"/>
        <w:bottom w:val="none" w:sz="0" w:space="0" w:color="auto"/>
        <w:right w:val="none" w:sz="0" w:space="0" w:color="auto"/>
      </w:divBdr>
      <w:divsChild>
        <w:div w:id="1170565358">
          <w:marLeft w:val="0"/>
          <w:marRight w:val="0"/>
          <w:marTop w:val="0"/>
          <w:marBottom w:val="0"/>
          <w:divBdr>
            <w:top w:val="none" w:sz="0" w:space="0" w:color="auto"/>
            <w:left w:val="none" w:sz="0" w:space="0" w:color="auto"/>
            <w:bottom w:val="none" w:sz="0" w:space="0" w:color="auto"/>
            <w:right w:val="none" w:sz="0" w:space="0" w:color="auto"/>
          </w:divBdr>
          <w:divsChild>
            <w:div w:id="129516150">
              <w:marLeft w:val="0"/>
              <w:marRight w:val="0"/>
              <w:marTop w:val="0"/>
              <w:marBottom w:val="0"/>
              <w:divBdr>
                <w:top w:val="none" w:sz="0" w:space="0" w:color="auto"/>
                <w:left w:val="none" w:sz="0" w:space="0" w:color="auto"/>
                <w:bottom w:val="none" w:sz="0" w:space="0" w:color="auto"/>
                <w:right w:val="none" w:sz="0" w:space="0" w:color="auto"/>
              </w:divBdr>
              <w:divsChild>
                <w:div w:id="386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898358">
      <w:bodyDiv w:val="1"/>
      <w:marLeft w:val="0"/>
      <w:marRight w:val="0"/>
      <w:marTop w:val="0"/>
      <w:marBottom w:val="0"/>
      <w:divBdr>
        <w:top w:val="none" w:sz="0" w:space="0" w:color="auto"/>
        <w:left w:val="none" w:sz="0" w:space="0" w:color="auto"/>
        <w:bottom w:val="none" w:sz="0" w:space="0" w:color="auto"/>
        <w:right w:val="none" w:sz="0" w:space="0" w:color="auto"/>
      </w:divBdr>
    </w:div>
    <w:div w:id="381834510">
      <w:bodyDiv w:val="1"/>
      <w:marLeft w:val="0"/>
      <w:marRight w:val="0"/>
      <w:marTop w:val="0"/>
      <w:marBottom w:val="0"/>
      <w:divBdr>
        <w:top w:val="none" w:sz="0" w:space="0" w:color="auto"/>
        <w:left w:val="none" w:sz="0" w:space="0" w:color="auto"/>
        <w:bottom w:val="none" w:sz="0" w:space="0" w:color="auto"/>
        <w:right w:val="none" w:sz="0" w:space="0" w:color="auto"/>
      </w:divBdr>
      <w:divsChild>
        <w:div w:id="347755673">
          <w:marLeft w:val="0"/>
          <w:marRight w:val="0"/>
          <w:marTop w:val="0"/>
          <w:marBottom w:val="0"/>
          <w:divBdr>
            <w:top w:val="none" w:sz="0" w:space="0" w:color="auto"/>
            <w:left w:val="none" w:sz="0" w:space="0" w:color="auto"/>
            <w:bottom w:val="none" w:sz="0" w:space="0" w:color="auto"/>
            <w:right w:val="none" w:sz="0" w:space="0" w:color="auto"/>
          </w:divBdr>
          <w:divsChild>
            <w:div w:id="1992103237">
              <w:marLeft w:val="0"/>
              <w:marRight w:val="0"/>
              <w:marTop w:val="0"/>
              <w:marBottom w:val="0"/>
              <w:divBdr>
                <w:top w:val="none" w:sz="0" w:space="0" w:color="auto"/>
                <w:left w:val="none" w:sz="0" w:space="0" w:color="auto"/>
                <w:bottom w:val="none" w:sz="0" w:space="0" w:color="auto"/>
                <w:right w:val="none" w:sz="0" w:space="0" w:color="auto"/>
              </w:divBdr>
              <w:divsChild>
                <w:div w:id="105226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31463">
      <w:bodyDiv w:val="1"/>
      <w:marLeft w:val="0"/>
      <w:marRight w:val="0"/>
      <w:marTop w:val="0"/>
      <w:marBottom w:val="0"/>
      <w:divBdr>
        <w:top w:val="none" w:sz="0" w:space="0" w:color="auto"/>
        <w:left w:val="none" w:sz="0" w:space="0" w:color="auto"/>
        <w:bottom w:val="none" w:sz="0" w:space="0" w:color="auto"/>
        <w:right w:val="none" w:sz="0" w:space="0" w:color="auto"/>
      </w:divBdr>
    </w:div>
    <w:div w:id="426269221">
      <w:bodyDiv w:val="1"/>
      <w:marLeft w:val="0"/>
      <w:marRight w:val="0"/>
      <w:marTop w:val="0"/>
      <w:marBottom w:val="0"/>
      <w:divBdr>
        <w:top w:val="none" w:sz="0" w:space="0" w:color="auto"/>
        <w:left w:val="none" w:sz="0" w:space="0" w:color="auto"/>
        <w:bottom w:val="none" w:sz="0" w:space="0" w:color="auto"/>
        <w:right w:val="none" w:sz="0" w:space="0" w:color="auto"/>
      </w:divBdr>
    </w:div>
    <w:div w:id="527258210">
      <w:bodyDiv w:val="1"/>
      <w:marLeft w:val="0"/>
      <w:marRight w:val="0"/>
      <w:marTop w:val="0"/>
      <w:marBottom w:val="0"/>
      <w:divBdr>
        <w:top w:val="none" w:sz="0" w:space="0" w:color="auto"/>
        <w:left w:val="none" w:sz="0" w:space="0" w:color="auto"/>
        <w:bottom w:val="none" w:sz="0" w:space="0" w:color="auto"/>
        <w:right w:val="none" w:sz="0" w:space="0" w:color="auto"/>
      </w:divBdr>
      <w:divsChild>
        <w:div w:id="101919007">
          <w:marLeft w:val="0"/>
          <w:marRight w:val="0"/>
          <w:marTop w:val="0"/>
          <w:marBottom w:val="0"/>
          <w:divBdr>
            <w:top w:val="none" w:sz="0" w:space="0" w:color="auto"/>
            <w:left w:val="none" w:sz="0" w:space="0" w:color="auto"/>
            <w:bottom w:val="none" w:sz="0" w:space="0" w:color="auto"/>
            <w:right w:val="none" w:sz="0" w:space="0" w:color="auto"/>
          </w:divBdr>
          <w:divsChild>
            <w:div w:id="2058699404">
              <w:marLeft w:val="0"/>
              <w:marRight w:val="0"/>
              <w:marTop w:val="0"/>
              <w:marBottom w:val="0"/>
              <w:divBdr>
                <w:top w:val="none" w:sz="0" w:space="0" w:color="auto"/>
                <w:left w:val="none" w:sz="0" w:space="0" w:color="auto"/>
                <w:bottom w:val="none" w:sz="0" w:space="0" w:color="auto"/>
                <w:right w:val="none" w:sz="0" w:space="0" w:color="auto"/>
              </w:divBdr>
              <w:divsChild>
                <w:div w:id="762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791519">
      <w:bodyDiv w:val="1"/>
      <w:marLeft w:val="0"/>
      <w:marRight w:val="0"/>
      <w:marTop w:val="0"/>
      <w:marBottom w:val="0"/>
      <w:divBdr>
        <w:top w:val="none" w:sz="0" w:space="0" w:color="auto"/>
        <w:left w:val="none" w:sz="0" w:space="0" w:color="auto"/>
        <w:bottom w:val="none" w:sz="0" w:space="0" w:color="auto"/>
        <w:right w:val="none" w:sz="0" w:space="0" w:color="auto"/>
      </w:divBdr>
    </w:div>
    <w:div w:id="576481171">
      <w:bodyDiv w:val="1"/>
      <w:marLeft w:val="0"/>
      <w:marRight w:val="0"/>
      <w:marTop w:val="0"/>
      <w:marBottom w:val="0"/>
      <w:divBdr>
        <w:top w:val="none" w:sz="0" w:space="0" w:color="auto"/>
        <w:left w:val="none" w:sz="0" w:space="0" w:color="auto"/>
        <w:bottom w:val="none" w:sz="0" w:space="0" w:color="auto"/>
        <w:right w:val="none" w:sz="0" w:space="0" w:color="auto"/>
      </w:divBdr>
    </w:div>
    <w:div w:id="675811045">
      <w:bodyDiv w:val="1"/>
      <w:marLeft w:val="0"/>
      <w:marRight w:val="0"/>
      <w:marTop w:val="0"/>
      <w:marBottom w:val="0"/>
      <w:divBdr>
        <w:top w:val="none" w:sz="0" w:space="0" w:color="auto"/>
        <w:left w:val="none" w:sz="0" w:space="0" w:color="auto"/>
        <w:bottom w:val="none" w:sz="0" w:space="0" w:color="auto"/>
        <w:right w:val="none" w:sz="0" w:space="0" w:color="auto"/>
      </w:divBdr>
      <w:divsChild>
        <w:div w:id="1068963489">
          <w:marLeft w:val="0"/>
          <w:marRight w:val="0"/>
          <w:marTop w:val="0"/>
          <w:marBottom w:val="0"/>
          <w:divBdr>
            <w:top w:val="none" w:sz="0" w:space="0" w:color="auto"/>
            <w:left w:val="none" w:sz="0" w:space="0" w:color="auto"/>
            <w:bottom w:val="none" w:sz="0" w:space="0" w:color="auto"/>
            <w:right w:val="none" w:sz="0" w:space="0" w:color="auto"/>
          </w:divBdr>
          <w:divsChild>
            <w:div w:id="967129370">
              <w:marLeft w:val="0"/>
              <w:marRight w:val="0"/>
              <w:marTop w:val="0"/>
              <w:marBottom w:val="0"/>
              <w:divBdr>
                <w:top w:val="none" w:sz="0" w:space="0" w:color="auto"/>
                <w:left w:val="none" w:sz="0" w:space="0" w:color="auto"/>
                <w:bottom w:val="none" w:sz="0" w:space="0" w:color="auto"/>
                <w:right w:val="none" w:sz="0" w:space="0" w:color="auto"/>
              </w:divBdr>
              <w:divsChild>
                <w:div w:id="14445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3876">
      <w:bodyDiv w:val="1"/>
      <w:marLeft w:val="0"/>
      <w:marRight w:val="0"/>
      <w:marTop w:val="0"/>
      <w:marBottom w:val="0"/>
      <w:divBdr>
        <w:top w:val="none" w:sz="0" w:space="0" w:color="auto"/>
        <w:left w:val="none" w:sz="0" w:space="0" w:color="auto"/>
        <w:bottom w:val="none" w:sz="0" w:space="0" w:color="auto"/>
        <w:right w:val="none" w:sz="0" w:space="0" w:color="auto"/>
      </w:divBdr>
      <w:divsChild>
        <w:div w:id="1642536146">
          <w:marLeft w:val="0"/>
          <w:marRight w:val="0"/>
          <w:marTop w:val="0"/>
          <w:marBottom w:val="0"/>
          <w:divBdr>
            <w:top w:val="none" w:sz="0" w:space="0" w:color="auto"/>
            <w:left w:val="none" w:sz="0" w:space="0" w:color="auto"/>
            <w:bottom w:val="none" w:sz="0" w:space="0" w:color="auto"/>
            <w:right w:val="none" w:sz="0" w:space="0" w:color="auto"/>
          </w:divBdr>
          <w:divsChild>
            <w:div w:id="1572694646">
              <w:marLeft w:val="0"/>
              <w:marRight w:val="0"/>
              <w:marTop w:val="0"/>
              <w:marBottom w:val="0"/>
              <w:divBdr>
                <w:top w:val="none" w:sz="0" w:space="0" w:color="auto"/>
                <w:left w:val="none" w:sz="0" w:space="0" w:color="auto"/>
                <w:bottom w:val="none" w:sz="0" w:space="0" w:color="auto"/>
                <w:right w:val="none" w:sz="0" w:space="0" w:color="auto"/>
              </w:divBdr>
              <w:divsChild>
                <w:div w:id="4689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908197">
      <w:bodyDiv w:val="1"/>
      <w:marLeft w:val="0"/>
      <w:marRight w:val="0"/>
      <w:marTop w:val="0"/>
      <w:marBottom w:val="0"/>
      <w:divBdr>
        <w:top w:val="none" w:sz="0" w:space="0" w:color="auto"/>
        <w:left w:val="none" w:sz="0" w:space="0" w:color="auto"/>
        <w:bottom w:val="none" w:sz="0" w:space="0" w:color="auto"/>
        <w:right w:val="none" w:sz="0" w:space="0" w:color="auto"/>
      </w:divBdr>
    </w:div>
    <w:div w:id="862132269">
      <w:bodyDiv w:val="1"/>
      <w:marLeft w:val="0"/>
      <w:marRight w:val="0"/>
      <w:marTop w:val="0"/>
      <w:marBottom w:val="0"/>
      <w:divBdr>
        <w:top w:val="none" w:sz="0" w:space="0" w:color="auto"/>
        <w:left w:val="none" w:sz="0" w:space="0" w:color="auto"/>
        <w:bottom w:val="none" w:sz="0" w:space="0" w:color="auto"/>
        <w:right w:val="none" w:sz="0" w:space="0" w:color="auto"/>
      </w:divBdr>
      <w:divsChild>
        <w:div w:id="1894652948">
          <w:marLeft w:val="0"/>
          <w:marRight w:val="0"/>
          <w:marTop w:val="0"/>
          <w:marBottom w:val="0"/>
          <w:divBdr>
            <w:top w:val="none" w:sz="0" w:space="0" w:color="auto"/>
            <w:left w:val="none" w:sz="0" w:space="0" w:color="auto"/>
            <w:bottom w:val="none" w:sz="0" w:space="0" w:color="auto"/>
            <w:right w:val="none" w:sz="0" w:space="0" w:color="auto"/>
          </w:divBdr>
          <w:divsChild>
            <w:div w:id="1190216088">
              <w:marLeft w:val="0"/>
              <w:marRight w:val="0"/>
              <w:marTop w:val="0"/>
              <w:marBottom w:val="0"/>
              <w:divBdr>
                <w:top w:val="none" w:sz="0" w:space="0" w:color="auto"/>
                <w:left w:val="none" w:sz="0" w:space="0" w:color="auto"/>
                <w:bottom w:val="none" w:sz="0" w:space="0" w:color="auto"/>
                <w:right w:val="none" w:sz="0" w:space="0" w:color="auto"/>
              </w:divBdr>
              <w:divsChild>
                <w:div w:id="77413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66907">
      <w:bodyDiv w:val="1"/>
      <w:marLeft w:val="0"/>
      <w:marRight w:val="0"/>
      <w:marTop w:val="0"/>
      <w:marBottom w:val="0"/>
      <w:divBdr>
        <w:top w:val="none" w:sz="0" w:space="0" w:color="auto"/>
        <w:left w:val="none" w:sz="0" w:space="0" w:color="auto"/>
        <w:bottom w:val="none" w:sz="0" w:space="0" w:color="auto"/>
        <w:right w:val="none" w:sz="0" w:space="0" w:color="auto"/>
      </w:divBdr>
    </w:div>
    <w:div w:id="945771670">
      <w:bodyDiv w:val="1"/>
      <w:marLeft w:val="0"/>
      <w:marRight w:val="0"/>
      <w:marTop w:val="0"/>
      <w:marBottom w:val="0"/>
      <w:divBdr>
        <w:top w:val="none" w:sz="0" w:space="0" w:color="auto"/>
        <w:left w:val="none" w:sz="0" w:space="0" w:color="auto"/>
        <w:bottom w:val="none" w:sz="0" w:space="0" w:color="auto"/>
        <w:right w:val="none" w:sz="0" w:space="0" w:color="auto"/>
      </w:divBdr>
      <w:divsChild>
        <w:div w:id="1984773799">
          <w:marLeft w:val="0"/>
          <w:marRight w:val="0"/>
          <w:marTop w:val="0"/>
          <w:marBottom w:val="0"/>
          <w:divBdr>
            <w:top w:val="none" w:sz="0" w:space="0" w:color="auto"/>
            <w:left w:val="none" w:sz="0" w:space="0" w:color="auto"/>
            <w:bottom w:val="none" w:sz="0" w:space="0" w:color="auto"/>
            <w:right w:val="none" w:sz="0" w:space="0" w:color="auto"/>
          </w:divBdr>
          <w:divsChild>
            <w:div w:id="918290572">
              <w:marLeft w:val="0"/>
              <w:marRight w:val="0"/>
              <w:marTop w:val="0"/>
              <w:marBottom w:val="0"/>
              <w:divBdr>
                <w:top w:val="none" w:sz="0" w:space="0" w:color="auto"/>
                <w:left w:val="none" w:sz="0" w:space="0" w:color="auto"/>
                <w:bottom w:val="none" w:sz="0" w:space="0" w:color="auto"/>
                <w:right w:val="none" w:sz="0" w:space="0" w:color="auto"/>
              </w:divBdr>
              <w:divsChild>
                <w:div w:id="196118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070742">
      <w:bodyDiv w:val="1"/>
      <w:marLeft w:val="0"/>
      <w:marRight w:val="0"/>
      <w:marTop w:val="0"/>
      <w:marBottom w:val="0"/>
      <w:divBdr>
        <w:top w:val="none" w:sz="0" w:space="0" w:color="auto"/>
        <w:left w:val="none" w:sz="0" w:space="0" w:color="auto"/>
        <w:bottom w:val="none" w:sz="0" w:space="0" w:color="auto"/>
        <w:right w:val="none" w:sz="0" w:space="0" w:color="auto"/>
      </w:divBdr>
    </w:div>
    <w:div w:id="986858161">
      <w:bodyDiv w:val="1"/>
      <w:marLeft w:val="0"/>
      <w:marRight w:val="0"/>
      <w:marTop w:val="0"/>
      <w:marBottom w:val="0"/>
      <w:divBdr>
        <w:top w:val="none" w:sz="0" w:space="0" w:color="auto"/>
        <w:left w:val="none" w:sz="0" w:space="0" w:color="auto"/>
        <w:bottom w:val="none" w:sz="0" w:space="0" w:color="auto"/>
        <w:right w:val="none" w:sz="0" w:space="0" w:color="auto"/>
      </w:divBdr>
      <w:divsChild>
        <w:div w:id="138502446">
          <w:marLeft w:val="0"/>
          <w:marRight w:val="0"/>
          <w:marTop w:val="0"/>
          <w:marBottom w:val="0"/>
          <w:divBdr>
            <w:top w:val="none" w:sz="0" w:space="0" w:color="auto"/>
            <w:left w:val="none" w:sz="0" w:space="0" w:color="auto"/>
            <w:bottom w:val="none" w:sz="0" w:space="0" w:color="auto"/>
            <w:right w:val="none" w:sz="0" w:space="0" w:color="auto"/>
          </w:divBdr>
          <w:divsChild>
            <w:div w:id="953487955">
              <w:marLeft w:val="0"/>
              <w:marRight w:val="0"/>
              <w:marTop w:val="0"/>
              <w:marBottom w:val="0"/>
              <w:divBdr>
                <w:top w:val="none" w:sz="0" w:space="0" w:color="auto"/>
                <w:left w:val="none" w:sz="0" w:space="0" w:color="auto"/>
                <w:bottom w:val="none" w:sz="0" w:space="0" w:color="auto"/>
                <w:right w:val="none" w:sz="0" w:space="0" w:color="auto"/>
              </w:divBdr>
              <w:divsChild>
                <w:div w:id="2560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152082">
      <w:bodyDiv w:val="1"/>
      <w:marLeft w:val="0"/>
      <w:marRight w:val="0"/>
      <w:marTop w:val="0"/>
      <w:marBottom w:val="0"/>
      <w:divBdr>
        <w:top w:val="none" w:sz="0" w:space="0" w:color="auto"/>
        <w:left w:val="none" w:sz="0" w:space="0" w:color="auto"/>
        <w:bottom w:val="none" w:sz="0" w:space="0" w:color="auto"/>
        <w:right w:val="none" w:sz="0" w:space="0" w:color="auto"/>
      </w:divBdr>
      <w:divsChild>
        <w:div w:id="1415588315">
          <w:marLeft w:val="0"/>
          <w:marRight w:val="0"/>
          <w:marTop w:val="0"/>
          <w:marBottom w:val="0"/>
          <w:divBdr>
            <w:top w:val="none" w:sz="0" w:space="0" w:color="auto"/>
            <w:left w:val="none" w:sz="0" w:space="0" w:color="auto"/>
            <w:bottom w:val="none" w:sz="0" w:space="0" w:color="auto"/>
            <w:right w:val="none" w:sz="0" w:space="0" w:color="auto"/>
          </w:divBdr>
          <w:divsChild>
            <w:div w:id="1562864476">
              <w:marLeft w:val="0"/>
              <w:marRight w:val="0"/>
              <w:marTop w:val="0"/>
              <w:marBottom w:val="0"/>
              <w:divBdr>
                <w:top w:val="none" w:sz="0" w:space="0" w:color="auto"/>
                <w:left w:val="none" w:sz="0" w:space="0" w:color="auto"/>
                <w:bottom w:val="none" w:sz="0" w:space="0" w:color="auto"/>
                <w:right w:val="none" w:sz="0" w:space="0" w:color="auto"/>
              </w:divBdr>
              <w:divsChild>
                <w:div w:id="140745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544999">
      <w:bodyDiv w:val="1"/>
      <w:marLeft w:val="0"/>
      <w:marRight w:val="0"/>
      <w:marTop w:val="0"/>
      <w:marBottom w:val="0"/>
      <w:divBdr>
        <w:top w:val="none" w:sz="0" w:space="0" w:color="auto"/>
        <w:left w:val="none" w:sz="0" w:space="0" w:color="auto"/>
        <w:bottom w:val="none" w:sz="0" w:space="0" w:color="auto"/>
        <w:right w:val="none" w:sz="0" w:space="0" w:color="auto"/>
      </w:divBdr>
      <w:divsChild>
        <w:div w:id="733745845">
          <w:marLeft w:val="0"/>
          <w:marRight w:val="0"/>
          <w:marTop w:val="0"/>
          <w:marBottom w:val="0"/>
          <w:divBdr>
            <w:top w:val="none" w:sz="0" w:space="0" w:color="auto"/>
            <w:left w:val="none" w:sz="0" w:space="0" w:color="auto"/>
            <w:bottom w:val="none" w:sz="0" w:space="0" w:color="auto"/>
            <w:right w:val="none" w:sz="0" w:space="0" w:color="auto"/>
          </w:divBdr>
          <w:divsChild>
            <w:div w:id="1709455395">
              <w:marLeft w:val="0"/>
              <w:marRight w:val="0"/>
              <w:marTop w:val="0"/>
              <w:marBottom w:val="0"/>
              <w:divBdr>
                <w:top w:val="none" w:sz="0" w:space="0" w:color="auto"/>
                <w:left w:val="none" w:sz="0" w:space="0" w:color="auto"/>
                <w:bottom w:val="none" w:sz="0" w:space="0" w:color="auto"/>
                <w:right w:val="none" w:sz="0" w:space="0" w:color="auto"/>
              </w:divBdr>
              <w:divsChild>
                <w:div w:id="146441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3838">
      <w:bodyDiv w:val="1"/>
      <w:marLeft w:val="0"/>
      <w:marRight w:val="0"/>
      <w:marTop w:val="0"/>
      <w:marBottom w:val="0"/>
      <w:divBdr>
        <w:top w:val="none" w:sz="0" w:space="0" w:color="auto"/>
        <w:left w:val="none" w:sz="0" w:space="0" w:color="auto"/>
        <w:bottom w:val="none" w:sz="0" w:space="0" w:color="auto"/>
        <w:right w:val="none" w:sz="0" w:space="0" w:color="auto"/>
      </w:divBdr>
      <w:divsChild>
        <w:div w:id="2108965140">
          <w:marLeft w:val="0"/>
          <w:marRight w:val="0"/>
          <w:marTop w:val="0"/>
          <w:marBottom w:val="0"/>
          <w:divBdr>
            <w:top w:val="none" w:sz="0" w:space="0" w:color="auto"/>
            <w:left w:val="none" w:sz="0" w:space="0" w:color="auto"/>
            <w:bottom w:val="none" w:sz="0" w:space="0" w:color="auto"/>
            <w:right w:val="none" w:sz="0" w:space="0" w:color="auto"/>
          </w:divBdr>
          <w:divsChild>
            <w:div w:id="2122188447">
              <w:marLeft w:val="0"/>
              <w:marRight w:val="0"/>
              <w:marTop w:val="0"/>
              <w:marBottom w:val="0"/>
              <w:divBdr>
                <w:top w:val="none" w:sz="0" w:space="0" w:color="auto"/>
                <w:left w:val="none" w:sz="0" w:space="0" w:color="auto"/>
                <w:bottom w:val="none" w:sz="0" w:space="0" w:color="auto"/>
                <w:right w:val="none" w:sz="0" w:space="0" w:color="auto"/>
              </w:divBdr>
              <w:divsChild>
                <w:div w:id="523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551118">
      <w:bodyDiv w:val="1"/>
      <w:marLeft w:val="0"/>
      <w:marRight w:val="0"/>
      <w:marTop w:val="0"/>
      <w:marBottom w:val="0"/>
      <w:divBdr>
        <w:top w:val="none" w:sz="0" w:space="0" w:color="auto"/>
        <w:left w:val="none" w:sz="0" w:space="0" w:color="auto"/>
        <w:bottom w:val="none" w:sz="0" w:space="0" w:color="auto"/>
        <w:right w:val="none" w:sz="0" w:space="0" w:color="auto"/>
      </w:divBdr>
      <w:divsChild>
        <w:div w:id="386683661">
          <w:marLeft w:val="0"/>
          <w:marRight w:val="0"/>
          <w:marTop w:val="0"/>
          <w:marBottom w:val="0"/>
          <w:divBdr>
            <w:top w:val="none" w:sz="0" w:space="0" w:color="auto"/>
            <w:left w:val="none" w:sz="0" w:space="0" w:color="auto"/>
            <w:bottom w:val="none" w:sz="0" w:space="0" w:color="auto"/>
            <w:right w:val="none" w:sz="0" w:space="0" w:color="auto"/>
          </w:divBdr>
          <w:divsChild>
            <w:div w:id="674235313">
              <w:marLeft w:val="0"/>
              <w:marRight w:val="0"/>
              <w:marTop w:val="0"/>
              <w:marBottom w:val="0"/>
              <w:divBdr>
                <w:top w:val="none" w:sz="0" w:space="0" w:color="auto"/>
                <w:left w:val="none" w:sz="0" w:space="0" w:color="auto"/>
                <w:bottom w:val="none" w:sz="0" w:space="0" w:color="auto"/>
                <w:right w:val="none" w:sz="0" w:space="0" w:color="auto"/>
              </w:divBdr>
              <w:divsChild>
                <w:div w:id="10828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34550">
      <w:bodyDiv w:val="1"/>
      <w:marLeft w:val="0"/>
      <w:marRight w:val="0"/>
      <w:marTop w:val="0"/>
      <w:marBottom w:val="0"/>
      <w:divBdr>
        <w:top w:val="none" w:sz="0" w:space="0" w:color="auto"/>
        <w:left w:val="none" w:sz="0" w:space="0" w:color="auto"/>
        <w:bottom w:val="none" w:sz="0" w:space="0" w:color="auto"/>
        <w:right w:val="none" w:sz="0" w:space="0" w:color="auto"/>
      </w:divBdr>
    </w:div>
    <w:div w:id="1302423555">
      <w:bodyDiv w:val="1"/>
      <w:marLeft w:val="0"/>
      <w:marRight w:val="0"/>
      <w:marTop w:val="0"/>
      <w:marBottom w:val="0"/>
      <w:divBdr>
        <w:top w:val="none" w:sz="0" w:space="0" w:color="auto"/>
        <w:left w:val="none" w:sz="0" w:space="0" w:color="auto"/>
        <w:bottom w:val="none" w:sz="0" w:space="0" w:color="auto"/>
        <w:right w:val="none" w:sz="0" w:space="0" w:color="auto"/>
      </w:divBdr>
      <w:divsChild>
        <w:div w:id="967515867">
          <w:marLeft w:val="0"/>
          <w:marRight w:val="0"/>
          <w:marTop w:val="0"/>
          <w:marBottom w:val="0"/>
          <w:divBdr>
            <w:top w:val="none" w:sz="0" w:space="0" w:color="auto"/>
            <w:left w:val="none" w:sz="0" w:space="0" w:color="auto"/>
            <w:bottom w:val="none" w:sz="0" w:space="0" w:color="auto"/>
            <w:right w:val="none" w:sz="0" w:space="0" w:color="auto"/>
          </w:divBdr>
          <w:divsChild>
            <w:div w:id="96946850">
              <w:marLeft w:val="0"/>
              <w:marRight w:val="0"/>
              <w:marTop w:val="0"/>
              <w:marBottom w:val="0"/>
              <w:divBdr>
                <w:top w:val="none" w:sz="0" w:space="0" w:color="auto"/>
                <w:left w:val="none" w:sz="0" w:space="0" w:color="auto"/>
                <w:bottom w:val="none" w:sz="0" w:space="0" w:color="auto"/>
                <w:right w:val="none" w:sz="0" w:space="0" w:color="auto"/>
              </w:divBdr>
              <w:divsChild>
                <w:div w:id="84692824">
                  <w:marLeft w:val="0"/>
                  <w:marRight w:val="0"/>
                  <w:marTop w:val="0"/>
                  <w:marBottom w:val="0"/>
                  <w:divBdr>
                    <w:top w:val="none" w:sz="0" w:space="0" w:color="auto"/>
                    <w:left w:val="none" w:sz="0" w:space="0" w:color="auto"/>
                    <w:bottom w:val="none" w:sz="0" w:space="0" w:color="auto"/>
                    <w:right w:val="none" w:sz="0" w:space="0" w:color="auto"/>
                  </w:divBdr>
                  <w:divsChild>
                    <w:div w:id="11233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84934">
      <w:bodyDiv w:val="1"/>
      <w:marLeft w:val="0"/>
      <w:marRight w:val="0"/>
      <w:marTop w:val="0"/>
      <w:marBottom w:val="0"/>
      <w:divBdr>
        <w:top w:val="none" w:sz="0" w:space="0" w:color="auto"/>
        <w:left w:val="none" w:sz="0" w:space="0" w:color="auto"/>
        <w:bottom w:val="none" w:sz="0" w:space="0" w:color="auto"/>
        <w:right w:val="none" w:sz="0" w:space="0" w:color="auto"/>
      </w:divBdr>
      <w:divsChild>
        <w:div w:id="595595087">
          <w:marLeft w:val="0"/>
          <w:marRight w:val="0"/>
          <w:marTop w:val="0"/>
          <w:marBottom w:val="0"/>
          <w:divBdr>
            <w:top w:val="none" w:sz="0" w:space="0" w:color="auto"/>
            <w:left w:val="none" w:sz="0" w:space="0" w:color="auto"/>
            <w:bottom w:val="none" w:sz="0" w:space="0" w:color="auto"/>
            <w:right w:val="none" w:sz="0" w:space="0" w:color="auto"/>
          </w:divBdr>
          <w:divsChild>
            <w:div w:id="1632983144">
              <w:marLeft w:val="0"/>
              <w:marRight w:val="0"/>
              <w:marTop w:val="0"/>
              <w:marBottom w:val="0"/>
              <w:divBdr>
                <w:top w:val="none" w:sz="0" w:space="0" w:color="auto"/>
                <w:left w:val="none" w:sz="0" w:space="0" w:color="auto"/>
                <w:bottom w:val="none" w:sz="0" w:space="0" w:color="auto"/>
                <w:right w:val="none" w:sz="0" w:space="0" w:color="auto"/>
              </w:divBdr>
              <w:divsChild>
                <w:div w:id="6433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95097">
      <w:bodyDiv w:val="1"/>
      <w:marLeft w:val="0"/>
      <w:marRight w:val="0"/>
      <w:marTop w:val="0"/>
      <w:marBottom w:val="0"/>
      <w:divBdr>
        <w:top w:val="none" w:sz="0" w:space="0" w:color="auto"/>
        <w:left w:val="none" w:sz="0" w:space="0" w:color="auto"/>
        <w:bottom w:val="none" w:sz="0" w:space="0" w:color="auto"/>
        <w:right w:val="none" w:sz="0" w:space="0" w:color="auto"/>
      </w:divBdr>
      <w:divsChild>
        <w:div w:id="608049186">
          <w:marLeft w:val="0"/>
          <w:marRight w:val="0"/>
          <w:marTop w:val="0"/>
          <w:marBottom w:val="0"/>
          <w:divBdr>
            <w:top w:val="none" w:sz="0" w:space="0" w:color="auto"/>
            <w:left w:val="none" w:sz="0" w:space="0" w:color="auto"/>
            <w:bottom w:val="none" w:sz="0" w:space="0" w:color="auto"/>
            <w:right w:val="none" w:sz="0" w:space="0" w:color="auto"/>
          </w:divBdr>
          <w:divsChild>
            <w:div w:id="1580213838">
              <w:marLeft w:val="0"/>
              <w:marRight w:val="0"/>
              <w:marTop w:val="0"/>
              <w:marBottom w:val="0"/>
              <w:divBdr>
                <w:top w:val="none" w:sz="0" w:space="0" w:color="auto"/>
                <w:left w:val="none" w:sz="0" w:space="0" w:color="auto"/>
                <w:bottom w:val="none" w:sz="0" w:space="0" w:color="auto"/>
                <w:right w:val="none" w:sz="0" w:space="0" w:color="auto"/>
              </w:divBdr>
              <w:divsChild>
                <w:div w:id="14713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798014">
      <w:bodyDiv w:val="1"/>
      <w:marLeft w:val="0"/>
      <w:marRight w:val="0"/>
      <w:marTop w:val="0"/>
      <w:marBottom w:val="0"/>
      <w:divBdr>
        <w:top w:val="none" w:sz="0" w:space="0" w:color="auto"/>
        <w:left w:val="none" w:sz="0" w:space="0" w:color="auto"/>
        <w:bottom w:val="none" w:sz="0" w:space="0" w:color="auto"/>
        <w:right w:val="none" w:sz="0" w:space="0" w:color="auto"/>
      </w:divBdr>
      <w:divsChild>
        <w:div w:id="2121217930">
          <w:marLeft w:val="0"/>
          <w:marRight w:val="0"/>
          <w:marTop w:val="0"/>
          <w:marBottom w:val="0"/>
          <w:divBdr>
            <w:top w:val="none" w:sz="0" w:space="0" w:color="auto"/>
            <w:left w:val="none" w:sz="0" w:space="0" w:color="auto"/>
            <w:bottom w:val="none" w:sz="0" w:space="0" w:color="auto"/>
            <w:right w:val="none" w:sz="0" w:space="0" w:color="auto"/>
          </w:divBdr>
          <w:divsChild>
            <w:div w:id="277835080">
              <w:marLeft w:val="0"/>
              <w:marRight w:val="0"/>
              <w:marTop w:val="0"/>
              <w:marBottom w:val="0"/>
              <w:divBdr>
                <w:top w:val="none" w:sz="0" w:space="0" w:color="auto"/>
                <w:left w:val="none" w:sz="0" w:space="0" w:color="auto"/>
                <w:bottom w:val="none" w:sz="0" w:space="0" w:color="auto"/>
                <w:right w:val="none" w:sz="0" w:space="0" w:color="auto"/>
              </w:divBdr>
              <w:divsChild>
                <w:div w:id="21244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430327">
      <w:bodyDiv w:val="1"/>
      <w:marLeft w:val="0"/>
      <w:marRight w:val="0"/>
      <w:marTop w:val="0"/>
      <w:marBottom w:val="0"/>
      <w:divBdr>
        <w:top w:val="none" w:sz="0" w:space="0" w:color="auto"/>
        <w:left w:val="none" w:sz="0" w:space="0" w:color="auto"/>
        <w:bottom w:val="none" w:sz="0" w:space="0" w:color="auto"/>
        <w:right w:val="none" w:sz="0" w:space="0" w:color="auto"/>
      </w:divBdr>
    </w:div>
    <w:div w:id="1416510283">
      <w:bodyDiv w:val="1"/>
      <w:marLeft w:val="0"/>
      <w:marRight w:val="0"/>
      <w:marTop w:val="0"/>
      <w:marBottom w:val="0"/>
      <w:divBdr>
        <w:top w:val="none" w:sz="0" w:space="0" w:color="auto"/>
        <w:left w:val="none" w:sz="0" w:space="0" w:color="auto"/>
        <w:bottom w:val="none" w:sz="0" w:space="0" w:color="auto"/>
        <w:right w:val="none" w:sz="0" w:space="0" w:color="auto"/>
      </w:divBdr>
    </w:div>
    <w:div w:id="1466701556">
      <w:bodyDiv w:val="1"/>
      <w:marLeft w:val="0"/>
      <w:marRight w:val="0"/>
      <w:marTop w:val="0"/>
      <w:marBottom w:val="0"/>
      <w:divBdr>
        <w:top w:val="none" w:sz="0" w:space="0" w:color="auto"/>
        <w:left w:val="none" w:sz="0" w:space="0" w:color="auto"/>
        <w:bottom w:val="none" w:sz="0" w:space="0" w:color="auto"/>
        <w:right w:val="none" w:sz="0" w:space="0" w:color="auto"/>
      </w:divBdr>
    </w:div>
    <w:div w:id="1501504523">
      <w:bodyDiv w:val="1"/>
      <w:marLeft w:val="0"/>
      <w:marRight w:val="0"/>
      <w:marTop w:val="0"/>
      <w:marBottom w:val="0"/>
      <w:divBdr>
        <w:top w:val="none" w:sz="0" w:space="0" w:color="auto"/>
        <w:left w:val="none" w:sz="0" w:space="0" w:color="auto"/>
        <w:bottom w:val="none" w:sz="0" w:space="0" w:color="auto"/>
        <w:right w:val="none" w:sz="0" w:space="0" w:color="auto"/>
      </w:divBdr>
      <w:divsChild>
        <w:div w:id="1759129646">
          <w:marLeft w:val="0"/>
          <w:marRight w:val="0"/>
          <w:marTop w:val="0"/>
          <w:marBottom w:val="0"/>
          <w:divBdr>
            <w:top w:val="none" w:sz="0" w:space="0" w:color="auto"/>
            <w:left w:val="none" w:sz="0" w:space="0" w:color="auto"/>
            <w:bottom w:val="none" w:sz="0" w:space="0" w:color="auto"/>
            <w:right w:val="none" w:sz="0" w:space="0" w:color="auto"/>
          </w:divBdr>
          <w:divsChild>
            <w:div w:id="620844714">
              <w:marLeft w:val="0"/>
              <w:marRight w:val="0"/>
              <w:marTop w:val="0"/>
              <w:marBottom w:val="0"/>
              <w:divBdr>
                <w:top w:val="none" w:sz="0" w:space="0" w:color="auto"/>
                <w:left w:val="none" w:sz="0" w:space="0" w:color="auto"/>
                <w:bottom w:val="none" w:sz="0" w:space="0" w:color="auto"/>
                <w:right w:val="none" w:sz="0" w:space="0" w:color="auto"/>
              </w:divBdr>
              <w:divsChild>
                <w:div w:id="108117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85519">
      <w:bodyDiv w:val="1"/>
      <w:marLeft w:val="0"/>
      <w:marRight w:val="0"/>
      <w:marTop w:val="0"/>
      <w:marBottom w:val="0"/>
      <w:divBdr>
        <w:top w:val="none" w:sz="0" w:space="0" w:color="auto"/>
        <w:left w:val="none" w:sz="0" w:space="0" w:color="auto"/>
        <w:bottom w:val="none" w:sz="0" w:space="0" w:color="auto"/>
        <w:right w:val="none" w:sz="0" w:space="0" w:color="auto"/>
      </w:divBdr>
      <w:divsChild>
        <w:div w:id="1738243013">
          <w:marLeft w:val="0"/>
          <w:marRight w:val="0"/>
          <w:marTop w:val="0"/>
          <w:marBottom w:val="0"/>
          <w:divBdr>
            <w:top w:val="none" w:sz="0" w:space="0" w:color="auto"/>
            <w:left w:val="none" w:sz="0" w:space="0" w:color="auto"/>
            <w:bottom w:val="none" w:sz="0" w:space="0" w:color="auto"/>
            <w:right w:val="none" w:sz="0" w:space="0" w:color="auto"/>
          </w:divBdr>
          <w:divsChild>
            <w:div w:id="391390597">
              <w:marLeft w:val="0"/>
              <w:marRight w:val="0"/>
              <w:marTop w:val="0"/>
              <w:marBottom w:val="0"/>
              <w:divBdr>
                <w:top w:val="none" w:sz="0" w:space="0" w:color="auto"/>
                <w:left w:val="none" w:sz="0" w:space="0" w:color="auto"/>
                <w:bottom w:val="none" w:sz="0" w:space="0" w:color="auto"/>
                <w:right w:val="none" w:sz="0" w:space="0" w:color="auto"/>
              </w:divBdr>
              <w:divsChild>
                <w:div w:id="16556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435681">
      <w:bodyDiv w:val="1"/>
      <w:marLeft w:val="0"/>
      <w:marRight w:val="0"/>
      <w:marTop w:val="0"/>
      <w:marBottom w:val="0"/>
      <w:divBdr>
        <w:top w:val="none" w:sz="0" w:space="0" w:color="auto"/>
        <w:left w:val="none" w:sz="0" w:space="0" w:color="auto"/>
        <w:bottom w:val="none" w:sz="0" w:space="0" w:color="auto"/>
        <w:right w:val="none" w:sz="0" w:space="0" w:color="auto"/>
      </w:divBdr>
      <w:divsChild>
        <w:div w:id="603805818">
          <w:marLeft w:val="0"/>
          <w:marRight w:val="0"/>
          <w:marTop w:val="0"/>
          <w:marBottom w:val="0"/>
          <w:divBdr>
            <w:top w:val="none" w:sz="0" w:space="0" w:color="auto"/>
            <w:left w:val="none" w:sz="0" w:space="0" w:color="auto"/>
            <w:bottom w:val="none" w:sz="0" w:space="0" w:color="auto"/>
            <w:right w:val="none" w:sz="0" w:space="0" w:color="auto"/>
          </w:divBdr>
          <w:divsChild>
            <w:div w:id="561214053">
              <w:marLeft w:val="0"/>
              <w:marRight w:val="0"/>
              <w:marTop w:val="0"/>
              <w:marBottom w:val="0"/>
              <w:divBdr>
                <w:top w:val="none" w:sz="0" w:space="0" w:color="auto"/>
                <w:left w:val="none" w:sz="0" w:space="0" w:color="auto"/>
                <w:bottom w:val="none" w:sz="0" w:space="0" w:color="auto"/>
                <w:right w:val="none" w:sz="0" w:space="0" w:color="auto"/>
              </w:divBdr>
              <w:divsChild>
                <w:div w:id="87562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161369">
      <w:bodyDiv w:val="1"/>
      <w:marLeft w:val="0"/>
      <w:marRight w:val="0"/>
      <w:marTop w:val="0"/>
      <w:marBottom w:val="0"/>
      <w:divBdr>
        <w:top w:val="none" w:sz="0" w:space="0" w:color="auto"/>
        <w:left w:val="none" w:sz="0" w:space="0" w:color="auto"/>
        <w:bottom w:val="none" w:sz="0" w:space="0" w:color="auto"/>
        <w:right w:val="none" w:sz="0" w:space="0" w:color="auto"/>
      </w:divBdr>
      <w:divsChild>
        <w:div w:id="2143843385">
          <w:marLeft w:val="0"/>
          <w:marRight w:val="0"/>
          <w:marTop w:val="0"/>
          <w:marBottom w:val="0"/>
          <w:divBdr>
            <w:top w:val="none" w:sz="0" w:space="0" w:color="auto"/>
            <w:left w:val="none" w:sz="0" w:space="0" w:color="auto"/>
            <w:bottom w:val="none" w:sz="0" w:space="0" w:color="auto"/>
            <w:right w:val="none" w:sz="0" w:space="0" w:color="auto"/>
          </w:divBdr>
          <w:divsChild>
            <w:div w:id="14044118">
              <w:marLeft w:val="0"/>
              <w:marRight w:val="0"/>
              <w:marTop w:val="0"/>
              <w:marBottom w:val="0"/>
              <w:divBdr>
                <w:top w:val="none" w:sz="0" w:space="0" w:color="auto"/>
                <w:left w:val="none" w:sz="0" w:space="0" w:color="auto"/>
                <w:bottom w:val="none" w:sz="0" w:space="0" w:color="auto"/>
                <w:right w:val="none" w:sz="0" w:space="0" w:color="auto"/>
              </w:divBdr>
              <w:divsChild>
                <w:div w:id="186347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758921">
      <w:bodyDiv w:val="1"/>
      <w:marLeft w:val="0"/>
      <w:marRight w:val="0"/>
      <w:marTop w:val="0"/>
      <w:marBottom w:val="0"/>
      <w:divBdr>
        <w:top w:val="none" w:sz="0" w:space="0" w:color="auto"/>
        <w:left w:val="none" w:sz="0" w:space="0" w:color="auto"/>
        <w:bottom w:val="none" w:sz="0" w:space="0" w:color="auto"/>
        <w:right w:val="none" w:sz="0" w:space="0" w:color="auto"/>
      </w:divBdr>
      <w:divsChild>
        <w:div w:id="1700080946">
          <w:marLeft w:val="0"/>
          <w:marRight w:val="0"/>
          <w:marTop w:val="0"/>
          <w:marBottom w:val="0"/>
          <w:divBdr>
            <w:top w:val="none" w:sz="0" w:space="0" w:color="auto"/>
            <w:left w:val="none" w:sz="0" w:space="0" w:color="auto"/>
            <w:bottom w:val="none" w:sz="0" w:space="0" w:color="auto"/>
            <w:right w:val="none" w:sz="0" w:space="0" w:color="auto"/>
          </w:divBdr>
          <w:divsChild>
            <w:div w:id="986666139">
              <w:marLeft w:val="0"/>
              <w:marRight w:val="0"/>
              <w:marTop w:val="0"/>
              <w:marBottom w:val="0"/>
              <w:divBdr>
                <w:top w:val="none" w:sz="0" w:space="0" w:color="auto"/>
                <w:left w:val="none" w:sz="0" w:space="0" w:color="auto"/>
                <w:bottom w:val="none" w:sz="0" w:space="0" w:color="auto"/>
                <w:right w:val="none" w:sz="0" w:space="0" w:color="auto"/>
              </w:divBdr>
              <w:divsChild>
                <w:div w:id="141751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14493">
      <w:bodyDiv w:val="1"/>
      <w:marLeft w:val="0"/>
      <w:marRight w:val="0"/>
      <w:marTop w:val="0"/>
      <w:marBottom w:val="0"/>
      <w:divBdr>
        <w:top w:val="none" w:sz="0" w:space="0" w:color="auto"/>
        <w:left w:val="none" w:sz="0" w:space="0" w:color="auto"/>
        <w:bottom w:val="none" w:sz="0" w:space="0" w:color="auto"/>
        <w:right w:val="none" w:sz="0" w:space="0" w:color="auto"/>
      </w:divBdr>
      <w:divsChild>
        <w:div w:id="470027050">
          <w:marLeft w:val="0"/>
          <w:marRight w:val="0"/>
          <w:marTop w:val="0"/>
          <w:marBottom w:val="0"/>
          <w:divBdr>
            <w:top w:val="none" w:sz="0" w:space="0" w:color="auto"/>
            <w:left w:val="none" w:sz="0" w:space="0" w:color="auto"/>
            <w:bottom w:val="none" w:sz="0" w:space="0" w:color="auto"/>
            <w:right w:val="none" w:sz="0" w:space="0" w:color="auto"/>
          </w:divBdr>
          <w:divsChild>
            <w:div w:id="1313366250">
              <w:marLeft w:val="0"/>
              <w:marRight w:val="0"/>
              <w:marTop w:val="0"/>
              <w:marBottom w:val="0"/>
              <w:divBdr>
                <w:top w:val="none" w:sz="0" w:space="0" w:color="auto"/>
                <w:left w:val="none" w:sz="0" w:space="0" w:color="auto"/>
                <w:bottom w:val="none" w:sz="0" w:space="0" w:color="auto"/>
                <w:right w:val="none" w:sz="0" w:space="0" w:color="auto"/>
              </w:divBdr>
              <w:divsChild>
                <w:div w:id="19927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823093">
      <w:bodyDiv w:val="1"/>
      <w:marLeft w:val="0"/>
      <w:marRight w:val="0"/>
      <w:marTop w:val="0"/>
      <w:marBottom w:val="0"/>
      <w:divBdr>
        <w:top w:val="none" w:sz="0" w:space="0" w:color="auto"/>
        <w:left w:val="none" w:sz="0" w:space="0" w:color="auto"/>
        <w:bottom w:val="none" w:sz="0" w:space="0" w:color="auto"/>
        <w:right w:val="none" w:sz="0" w:space="0" w:color="auto"/>
      </w:divBdr>
      <w:divsChild>
        <w:div w:id="1643387328">
          <w:marLeft w:val="0"/>
          <w:marRight w:val="0"/>
          <w:marTop w:val="0"/>
          <w:marBottom w:val="0"/>
          <w:divBdr>
            <w:top w:val="none" w:sz="0" w:space="0" w:color="auto"/>
            <w:left w:val="none" w:sz="0" w:space="0" w:color="auto"/>
            <w:bottom w:val="none" w:sz="0" w:space="0" w:color="auto"/>
            <w:right w:val="none" w:sz="0" w:space="0" w:color="auto"/>
          </w:divBdr>
          <w:divsChild>
            <w:div w:id="1987661452">
              <w:marLeft w:val="0"/>
              <w:marRight w:val="0"/>
              <w:marTop w:val="0"/>
              <w:marBottom w:val="0"/>
              <w:divBdr>
                <w:top w:val="none" w:sz="0" w:space="0" w:color="auto"/>
                <w:left w:val="none" w:sz="0" w:space="0" w:color="auto"/>
                <w:bottom w:val="none" w:sz="0" w:space="0" w:color="auto"/>
                <w:right w:val="none" w:sz="0" w:space="0" w:color="auto"/>
              </w:divBdr>
              <w:divsChild>
                <w:div w:id="134474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85159">
      <w:bodyDiv w:val="1"/>
      <w:marLeft w:val="0"/>
      <w:marRight w:val="0"/>
      <w:marTop w:val="0"/>
      <w:marBottom w:val="0"/>
      <w:divBdr>
        <w:top w:val="none" w:sz="0" w:space="0" w:color="auto"/>
        <w:left w:val="none" w:sz="0" w:space="0" w:color="auto"/>
        <w:bottom w:val="none" w:sz="0" w:space="0" w:color="auto"/>
        <w:right w:val="none" w:sz="0" w:space="0" w:color="auto"/>
      </w:divBdr>
      <w:divsChild>
        <w:div w:id="901478548">
          <w:marLeft w:val="0"/>
          <w:marRight w:val="0"/>
          <w:marTop w:val="0"/>
          <w:marBottom w:val="0"/>
          <w:divBdr>
            <w:top w:val="none" w:sz="0" w:space="0" w:color="auto"/>
            <w:left w:val="none" w:sz="0" w:space="0" w:color="auto"/>
            <w:bottom w:val="none" w:sz="0" w:space="0" w:color="auto"/>
            <w:right w:val="none" w:sz="0" w:space="0" w:color="auto"/>
          </w:divBdr>
          <w:divsChild>
            <w:div w:id="342250400">
              <w:marLeft w:val="0"/>
              <w:marRight w:val="0"/>
              <w:marTop w:val="0"/>
              <w:marBottom w:val="0"/>
              <w:divBdr>
                <w:top w:val="none" w:sz="0" w:space="0" w:color="auto"/>
                <w:left w:val="none" w:sz="0" w:space="0" w:color="auto"/>
                <w:bottom w:val="none" w:sz="0" w:space="0" w:color="auto"/>
                <w:right w:val="none" w:sz="0" w:space="0" w:color="auto"/>
              </w:divBdr>
              <w:divsChild>
                <w:div w:id="7306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423480">
      <w:bodyDiv w:val="1"/>
      <w:marLeft w:val="0"/>
      <w:marRight w:val="0"/>
      <w:marTop w:val="0"/>
      <w:marBottom w:val="0"/>
      <w:divBdr>
        <w:top w:val="none" w:sz="0" w:space="0" w:color="auto"/>
        <w:left w:val="none" w:sz="0" w:space="0" w:color="auto"/>
        <w:bottom w:val="none" w:sz="0" w:space="0" w:color="auto"/>
        <w:right w:val="none" w:sz="0" w:space="0" w:color="auto"/>
      </w:divBdr>
      <w:divsChild>
        <w:div w:id="2114587668">
          <w:marLeft w:val="0"/>
          <w:marRight w:val="0"/>
          <w:marTop w:val="0"/>
          <w:marBottom w:val="0"/>
          <w:divBdr>
            <w:top w:val="none" w:sz="0" w:space="0" w:color="auto"/>
            <w:left w:val="none" w:sz="0" w:space="0" w:color="auto"/>
            <w:bottom w:val="none" w:sz="0" w:space="0" w:color="auto"/>
            <w:right w:val="none" w:sz="0" w:space="0" w:color="auto"/>
          </w:divBdr>
          <w:divsChild>
            <w:div w:id="2070379915">
              <w:marLeft w:val="0"/>
              <w:marRight w:val="0"/>
              <w:marTop w:val="0"/>
              <w:marBottom w:val="0"/>
              <w:divBdr>
                <w:top w:val="none" w:sz="0" w:space="0" w:color="auto"/>
                <w:left w:val="none" w:sz="0" w:space="0" w:color="auto"/>
                <w:bottom w:val="none" w:sz="0" w:space="0" w:color="auto"/>
                <w:right w:val="none" w:sz="0" w:space="0" w:color="auto"/>
              </w:divBdr>
              <w:divsChild>
                <w:div w:id="157273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320394">
      <w:bodyDiv w:val="1"/>
      <w:marLeft w:val="0"/>
      <w:marRight w:val="0"/>
      <w:marTop w:val="0"/>
      <w:marBottom w:val="0"/>
      <w:divBdr>
        <w:top w:val="none" w:sz="0" w:space="0" w:color="auto"/>
        <w:left w:val="none" w:sz="0" w:space="0" w:color="auto"/>
        <w:bottom w:val="none" w:sz="0" w:space="0" w:color="auto"/>
        <w:right w:val="none" w:sz="0" w:space="0" w:color="auto"/>
      </w:divBdr>
      <w:divsChild>
        <w:div w:id="1961958661">
          <w:marLeft w:val="0"/>
          <w:marRight w:val="0"/>
          <w:marTop w:val="0"/>
          <w:marBottom w:val="0"/>
          <w:divBdr>
            <w:top w:val="none" w:sz="0" w:space="0" w:color="auto"/>
            <w:left w:val="none" w:sz="0" w:space="0" w:color="auto"/>
            <w:bottom w:val="none" w:sz="0" w:space="0" w:color="auto"/>
            <w:right w:val="none" w:sz="0" w:space="0" w:color="auto"/>
          </w:divBdr>
          <w:divsChild>
            <w:div w:id="18701979">
              <w:marLeft w:val="0"/>
              <w:marRight w:val="0"/>
              <w:marTop w:val="0"/>
              <w:marBottom w:val="0"/>
              <w:divBdr>
                <w:top w:val="none" w:sz="0" w:space="0" w:color="auto"/>
                <w:left w:val="none" w:sz="0" w:space="0" w:color="auto"/>
                <w:bottom w:val="none" w:sz="0" w:space="0" w:color="auto"/>
                <w:right w:val="none" w:sz="0" w:space="0" w:color="auto"/>
              </w:divBdr>
              <w:divsChild>
                <w:div w:id="14710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69897">
      <w:bodyDiv w:val="1"/>
      <w:marLeft w:val="0"/>
      <w:marRight w:val="0"/>
      <w:marTop w:val="0"/>
      <w:marBottom w:val="0"/>
      <w:divBdr>
        <w:top w:val="none" w:sz="0" w:space="0" w:color="auto"/>
        <w:left w:val="none" w:sz="0" w:space="0" w:color="auto"/>
        <w:bottom w:val="none" w:sz="0" w:space="0" w:color="auto"/>
        <w:right w:val="none" w:sz="0" w:space="0" w:color="auto"/>
      </w:divBdr>
    </w:div>
    <w:div w:id="1867254595">
      <w:bodyDiv w:val="1"/>
      <w:marLeft w:val="0"/>
      <w:marRight w:val="0"/>
      <w:marTop w:val="0"/>
      <w:marBottom w:val="0"/>
      <w:divBdr>
        <w:top w:val="none" w:sz="0" w:space="0" w:color="auto"/>
        <w:left w:val="none" w:sz="0" w:space="0" w:color="auto"/>
        <w:bottom w:val="none" w:sz="0" w:space="0" w:color="auto"/>
        <w:right w:val="none" w:sz="0" w:space="0" w:color="auto"/>
      </w:divBdr>
      <w:divsChild>
        <w:div w:id="2104178264">
          <w:marLeft w:val="0"/>
          <w:marRight w:val="0"/>
          <w:marTop w:val="0"/>
          <w:marBottom w:val="0"/>
          <w:divBdr>
            <w:top w:val="none" w:sz="0" w:space="0" w:color="auto"/>
            <w:left w:val="none" w:sz="0" w:space="0" w:color="auto"/>
            <w:bottom w:val="none" w:sz="0" w:space="0" w:color="auto"/>
            <w:right w:val="none" w:sz="0" w:space="0" w:color="auto"/>
          </w:divBdr>
          <w:divsChild>
            <w:div w:id="1921332144">
              <w:marLeft w:val="0"/>
              <w:marRight w:val="0"/>
              <w:marTop w:val="0"/>
              <w:marBottom w:val="0"/>
              <w:divBdr>
                <w:top w:val="none" w:sz="0" w:space="0" w:color="auto"/>
                <w:left w:val="none" w:sz="0" w:space="0" w:color="auto"/>
                <w:bottom w:val="none" w:sz="0" w:space="0" w:color="auto"/>
                <w:right w:val="none" w:sz="0" w:space="0" w:color="auto"/>
              </w:divBdr>
              <w:divsChild>
                <w:div w:id="8029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828727">
      <w:bodyDiv w:val="1"/>
      <w:marLeft w:val="0"/>
      <w:marRight w:val="0"/>
      <w:marTop w:val="0"/>
      <w:marBottom w:val="0"/>
      <w:divBdr>
        <w:top w:val="none" w:sz="0" w:space="0" w:color="auto"/>
        <w:left w:val="none" w:sz="0" w:space="0" w:color="auto"/>
        <w:bottom w:val="none" w:sz="0" w:space="0" w:color="auto"/>
        <w:right w:val="none" w:sz="0" w:space="0" w:color="auto"/>
      </w:divBdr>
      <w:divsChild>
        <w:div w:id="1584601449">
          <w:marLeft w:val="0"/>
          <w:marRight w:val="0"/>
          <w:marTop w:val="0"/>
          <w:marBottom w:val="0"/>
          <w:divBdr>
            <w:top w:val="none" w:sz="0" w:space="0" w:color="auto"/>
            <w:left w:val="none" w:sz="0" w:space="0" w:color="auto"/>
            <w:bottom w:val="none" w:sz="0" w:space="0" w:color="auto"/>
            <w:right w:val="none" w:sz="0" w:space="0" w:color="auto"/>
          </w:divBdr>
          <w:divsChild>
            <w:div w:id="1705516890">
              <w:marLeft w:val="0"/>
              <w:marRight w:val="0"/>
              <w:marTop w:val="0"/>
              <w:marBottom w:val="0"/>
              <w:divBdr>
                <w:top w:val="none" w:sz="0" w:space="0" w:color="auto"/>
                <w:left w:val="none" w:sz="0" w:space="0" w:color="auto"/>
                <w:bottom w:val="none" w:sz="0" w:space="0" w:color="auto"/>
                <w:right w:val="none" w:sz="0" w:space="0" w:color="auto"/>
              </w:divBdr>
              <w:divsChild>
                <w:div w:id="97603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98261">
      <w:bodyDiv w:val="1"/>
      <w:marLeft w:val="0"/>
      <w:marRight w:val="0"/>
      <w:marTop w:val="0"/>
      <w:marBottom w:val="0"/>
      <w:divBdr>
        <w:top w:val="none" w:sz="0" w:space="0" w:color="auto"/>
        <w:left w:val="none" w:sz="0" w:space="0" w:color="auto"/>
        <w:bottom w:val="none" w:sz="0" w:space="0" w:color="auto"/>
        <w:right w:val="none" w:sz="0" w:space="0" w:color="auto"/>
      </w:divBdr>
    </w:div>
    <w:div w:id="1942491252">
      <w:bodyDiv w:val="1"/>
      <w:marLeft w:val="0"/>
      <w:marRight w:val="0"/>
      <w:marTop w:val="0"/>
      <w:marBottom w:val="0"/>
      <w:divBdr>
        <w:top w:val="none" w:sz="0" w:space="0" w:color="auto"/>
        <w:left w:val="none" w:sz="0" w:space="0" w:color="auto"/>
        <w:bottom w:val="none" w:sz="0" w:space="0" w:color="auto"/>
        <w:right w:val="none" w:sz="0" w:space="0" w:color="auto"/>
      </w:divBdr>
    </w:div>
    <w:div w:id="2000576467">
      <w:bodyDiv w:val="1"/>
      <w:marLeft w:val="0"/>
      <w:marRight w:val="0"/>
      <w:marTop w:val="0"/>
      <w:marBottom w:val="0"/>
      <w:divBdr>
        <w:top w:val="none" w:sz="0" w:space="0" w:color="auto"/>
        <w:left w:val="none" w:sz="0" w:space="0" w:color="auto"/>
        <w:bottom w:val="none" w:sz="0" w:space="0" w:color="auto"/>
        <w:right w:val="none" w:sz="0" w:space="0" w:color="auto"/>
      </w:divBdr>
      <w:divsChild>
        <w:div w:id="1326470990">
          <w:marLeft w:val="0"/>
          <w:marRight w:val="0"/>
          <w:marTop w:val="0"/>
          <w:marBottom w:val="0"/>
          <w:divBdr>
            <w:top w:val="none" w:sz="0" w:space="0" w:color="auto"/>
            <w:left w:val="none" w:sz="0" w:space="0" w:color="auto"/>
            <w:bottom w:val="none" w:sz="0" w:space="0" w:color="auto"/>
            <w:right w:val="none" w:sz="0" w:space="0" w:color="auto"/>
          </w:divBdr>
          <w:divsChild>
            <w:div w:id="1037704419">
              <w:marLeft w:val="0"/>
              <w:marRight w:val="0"/>
              <w:marTop w:val="0"/>
              <w:marBottom w:val="0"/>
              <w:divBdr>
                <w:top w:val="none" w:sz="0" w:space="0" w:color="auto"/>
                <w:left w:val="none" w:sz="0" w:space="0" w:color="auto"/>
                <w:bottom w:val="none" w:sz="0" w:space="0" w:color="auto"/>
                <w:right w:val="none" w:sz="0" w:space="0" w:color="auto"/>
              </w:divBdr>
              <w:divsChild>
                <w:div w:id="27606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662103">
      <w:bodyDiv w:val="1"/>
      <w:marLeft w:val="0"/>
      <w:marRight w:val="0"/>
      <w:marTop w:val="0"/>
      <w:marBottom w:val="0"/>
      <w:divBdr>
        <w:top w:val="none" w:sz="0" w:space="0" w:color="auto"/>
        <w:left w:val="none" w:sz="0" w:space="0" w:color="auto"/>
        <w:bottom w:val="none" w:sz="0" w:space="0" w:color="auto"/>
        <w:right w:val="none" w:sz="0" w:space="0" w:color="auto"/>
      </w:divBdr>
      <w:divsChild>
        <w:div w:id="1450588397">
          <w:marLeft w:val="0"/>
          <w:marRight w:val="0"/>
          <w:marTop w:val="0"/>
          <w:marBottom w:val="0"/>
          <w:divBdr>
            <w:top w:val="none" w:sz="0" w:space="0" w:color="auto"/>
            <w:left w:val="none" w:sz="0" w:space="0" w:color="auto"/>
            <w:bottom w:val="none" w:sz="0" w:space="0" w:color="auto"/>
            <w:right w:val="none" w:sz="0" w:space="0" w:color="auto"/>
          </w:divBdr>
          <w:divsChild>
            <w:div w:id="1678070372">
              <w:marLeft w:val="0"/>
              <w:marRight w:val="0"/>
              <w:marTop w:val="0"/>
              <w:marBottom w:val="0"/>
              <w:divBdr>
                <w:top w:val="none" w:sz="0" w:space="0" w:color="auto"/>
                <w:left w:val="none" w:sz="0" w:space="0" w:color="auto"/>
                <w:bottom w:val="none" w:sz="0" w:space="0" w:color="auto"/>
                <w:right w:val="none" w:sz="0" w:space="0" w:color="auto"/>
              </w:divBdr>
              <w:divsChild>
                <w:div w:id="11598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00243">
      <w:bodyDiv w:val="1"/>
      <w:marLeft w:val="0"/>
      <w:marRight w:val="0"/>
      <w:marTop w:val="0"/>
      <w:marBottom w:val="0"/>
      <w:divBdr>
        <w:top w:val="none" w:sz="0" w:space="0" w:color="auto"/>
        <w:left w:val="none" w:sz="0" w:space="0" w:color="auto"/>
        <w:bottom w:val="none" w:sz="0" w:space="0" w:color="auto"/>
        <w:right w:val="none" w:sz="0" w:space="0" w:color="auto"/>
      </w:divBdr>
      <w:divsChild>
        <w:div w:id="873544381">
          <w:marLeft w:val="0"/>
          <w:marRight w:val="0"/>
          <w:marTop w:val="0"/>
          <w:marBottom w:val="0"/>
          <w:divBdr>
            <w:top w:val="none" w:sz="0" w:space="0" w:color="auto"/>
            <w:left w:val="none" w:sz="0" w:space="0" w:color="auto"/>
            <w:bottom w:val="none" w:sz="0" w:space="0" w:color="auto"/>
            <w:right w:val="none" w:sz="0" w:space="0" w:color="auto"/>
          </w:divBdr>
          <w:divsChild>
            <w:div w:id="1988511980">
              <w:marLeft w:val="0"/>
              <w:marRight w:val="0"/>
              <w:marTop w:val="0"/>
              <w:marBottom w:val="0"/>
              <w:divBdr>
                <w:top w:val="none" w:sz="0" w:space="0" w:color="auto"/>
                <w:left w:val="none" w:sz="0" w:space="0" w:color="auto"/>
                <w:bottom w:val="none" w:sz="0" w:space="0" w:color="auto"/>
                <w:right w:val="none" w:sz="0" w:space="0" w:color="auto"/>
              </w:divBdr>
              <w:divsChild>
                <w:div w:id="4241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638098">
      <w:bodyDiv w:val="1"/>
      <w:marLeft w:val="0"/>
      <w:marRight w:val="0"/>
      <w:marTop w:val="0"/>
      <w:marBottom w:val="0"/>
      <w:divBdr>
        <w:top w:val="none" w:sz="0" w:space="0" w:color="auto"/>
        <w:left w:val="none" w:sz="0" w:space="0" w:color="auto"/>
        <w:bottom w:val="none" w:sz="0" w:space="0" w:color="auto"/>
        <w:right w:val="none" w:sz="0" w:space="0" w:color="auto"/>
      </w:divBdr>
      <w:divsChild>
        <w:div w:id="346179722">
          <w:marLeft w:val="0"/>
          <w:marRight w:val="0"/>
          <w:marTop w:val="0"/>
          <w:marBottom w:val="0"/>
          <w:divBdr>
            <w:top w:val="none" w:sz="0" w:space="0" w:color="auto"/>
            <w:left w:val="none" w:sz="0" w:space="0" w:color="auto"/>
            <w:bottom w:val="none" w:sz="0" w:space="0" w:color="auto"/>
            <w:right w:val="none" w:sz="0" w:space="0" w:color="auto"/>
          </w:divBdr>
          <w:divsChild>
            <w:div w:id="373385694">
              <w:marLeft w:val="0"/>
              <w:marRight w:val="0"/>
              <w:marTop w:val="0"/>
              <w:marBottom w:val="0"/>
              <w:divBdr>
                <w:top w:val="none" w:sz="0" w:space="0" w:color="auto"/>
                <w:left w:val="none" w:sz="0" w:space="0" w:color="auto"/>
                <w:bottom w:val="none" w:sz="0" w:space="0" w:color="auto"/>
                <w:right w:val="none" w:sz="0" w:space="0" w:color="auto"/>
              </w:divBdr>
              <w:divsChild>
                <w:div w:id="85041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779437">
      <w:bodyDiv w:val="1"/>
      <w:marLeft w:val="0"/>
      <w:marRight w:val="0"/>
      <w:marTop w:val="0"/>
      <w:marBottom w:val="0"/>
      <w:divBdr>
        <w:top w:val="none" w:sz="0" w:space="0" w:color="auto"/>
        <w:left w:val="none" w:sz="0" w:space="0" w:color="auto"/>
        <w:bottom w:val="none" w:sz="0" w:space="0" w:color="auto"/>
        <w:right w:val="none" w:sz="0" w:space="0" w:color="auto"/>
      </w:divBdr>
      <w:divsChild>
        <w:div w:id="1375960099">
          <w:marLeft w:val="0"/>
          <w:marRight w:val="0"/>
          <w:marTop w:val="0"/>
          <w:marBottom w:val="0"/>
          <w:divBdr>
            <w:top w:val="none" w:sz="0" w:space="0" w:color="auto"/>
            <w:left w:val="none" w:sz="0" w:space="0" w:color="auto"/>
            <w:bottom w:val="none" w:sz="0" w:space="0" w:color="auto"/>
            <w:right w:val="none" w:sz="0" w:space="0" w:color="auto"/>
          </w:divBdr>
          <w:divsChild>
            <w:div w:id="2002390319">
              <w:marLeft w:val="0"/>
              <w:marRight w:val="0"/>
              <w:marTop w:val="0"/>
              <w:marBottom w:val="0"/>
              <w:divBdr>
                <w:top w:val="none" w:sz="0" w:space="0" w:color="auto"/>
                <w:left w:val="none" w:sz="0" w:space="0" w:color="auto"/>
                <w:bottom w:val="none" w:sz="0" w:space="0" w:color="auto"/>
                <w:right w:val="none" w:sz="0" w:space="0" w:color="auto"/>
              </w:divBdr>
              <w:divsChild>
                <w:div w:id="1213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63B74-55CC-49FD-9373-4504F767B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7022</Words>
  <Characters>38621</Characters>
  <Application>Microsoft Office Word</Application>
  <DocSecurity>0</DocSecurity>
  <Lines>321</Lines>
  <Paragraphs>91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Katerine Venegas Rozo</dc:creator>
  <cp:keywords/>
  <dc:description/>
  <cp:lastModifiedBy>JUAN ALEJANDRO SUAREZ SALAMANCA</cp:lastModifiedBy>
  <cp:revision>5</cp:revision>
  <dcterms:created xsi:type="dcterms:W3CDTF">2020-06-24T16:16:00Z</dcterms:created>
  <dcterms:modified xsi:type="dcterms:W3CDTF">2020-06-24T18:05:00Z</dcterms:modified>
</cp:coreProperties>
</file>