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4D4BA" w14:textId="77777777" w:rsidR="00EF53B5" w:rsidRPr="00431D53" w:rsidRDefault="00BC528F" w:rsidP="001800C4">
      <w:pPr>
        <w:jc w:val="both"/>
        <w:rPr>
          <w:rFonts w:ascii="Arial" w:hAnsi="Arial" w:cs="Arial"/>
          <w:b/>
          <w:sz w:val="24"/>
          <w:szCs w:val="24"/>
        </w:rPr>
      </w:pPr>
      <w:r w:rsidRPr="00431D53">
        <w:rPr>
          <w:rFonts w:ascii="Arial" w:hAnsi="Arial" w:cs="Arial"/>
          <w:b/>
          <w:sz w:val="24"/>
          <w:szCs w:val="24"/>
        </w:rPr>
        <w:t>IMPEDIMENTO – Su decisión corresponde al ponente en vigencia del Código Contencioso Administrativo</w:t>
      </w:r>
      <w:r w:rsidR="002726CA" w:rsidRPr="00431D53">
        <w:rPr>
          <w:rFonts w:ascii="Arial" w:hAnsi="Arial" w:cs="Arial"/>
          <w:b/>
          <w:sz w:val="24"/>
          <w:szCs w:val="24"/>
        </w:rPr>
        <w:t xml:space="preserve"> / </w:t>
      </w:r>
      <w:r w:rsidRPr="00431D53">
        <w:rPr>
          <w:rFonts w:ascii="Arial" w:hAnsi="Arial" w:cs="Arial"/>
          <w:b/>
          <w:sz w:val="24"/>
          <w:szCs w:val="24"/>
        </w:rPr>
        <w:t xml:space="preserve">IMPEDIMENTO DE CONSEJERO DE ESTADO – Por existir amistad íntima entre el juez y alguna de las partes, su representante o apoderado / IMPEDIMENTO DE CONSEJERO DE ESTADO – Se </w:t>
      </w:r>
      <w:r w:rsidR="00431D53" w:rsidRPr="00431D53">
        <w:rPr>
          <w:rFonts w:ascii="Arial" w:hAnsi="Arial" w:cs="Arial"/>
          <w:b/>
          <w:sz w:val="24"/>
          <w:szCs w:val="24"/>
        </w:rPr>
        <w:t>configura</w:t>
      </w:r>
      <w:r w:rsidRPr="00431D53">
        <w:rPr>
          <w:rFonts w:ascii="Arial" w:hAnsi="Arial" w:cs="Arial"/>
          <w:b/>
          <w:sz w:val="24"/>
          <w:szCs w:val="24"/>
        </w:rPr>
        <w:t xml:space="preserve"> por existir un vínculo de amistad íntima con </w:t>
      </w:r>
      <w:r w:rsidR="00431D53" w:rsidRPr="00431D53">
        <w:rPr>
          <w:rFonts w:ascii="Arial" w:hAnsi="Arial" w:cs="Arial"/>
          <w:b/>
          <w:sz w:val="24"/>
          <w:szCs w:val="24"/>
        </w:rPr>
        <w:t>el apoderado de la sociedad demandante</w:t>
      </w:r>
    </w:p>
    <w:p w14:paraId="65819313" w14:textId="77777777" w:rsidR="00EF53B5" w:rsidRPr="00431D53" w:rsidRDefault="00EF53B5" w:rsidP="001800C4">
      <w:pPr>
        <w:jc w:val="both"/>
        <w:rPr>
          <w:rFonts w:ascii="Arial" w:hAnsi="Arial" w:cs="Arial"/>
          <w:b/>
          <w:sz w:val="24"/>
          <w:szCs w:val="24"/>
        </w:rPr>
      </w:pPr>
    </w:p>
    <w:p w14:paraId="36F41FE3" w14:textId="77777777" w:rsidR="00EF53B5" w:rsidRPr="00431D53" w:rsidRDefault="002726CA" w:rsidP="001800C4">
      <w:pPr>
        <w:jc w:val="both"/>
        <w:rPr>
          <w:rFonts w:ascii="Arial" w:hAnsi="Arial" w:cs="Arial"/>
          <w:sz w:val="24"/>
          <w:szCs w:val="24"/>
        </w:rPr>
      </w:pPr>
      <w:r w:rsidRPr="00431D53">
        <w:rPr>
          <w:rFonts w:ascii="Arial" w:hAnsi="Arial" w:cs="Arial"/>
          <w:sz w:val="24"/>
          <w:szCs w:val="24"/>
        </w:rPr>
        <w:t>Corresponde a la Sala unitaria determinar si el magistrado de la Sección Primera del Consejo de Estado, […], se encuentra incurso en la causal de impedimento prevista en el numeral 9 del artículo 141 de la Ley 1564 de 12 de julio de 2012. […] Atendiendo a que el Consejero de Estado, […], fundamentó su impedimento en que mantiene una amistad íntima con el abogado […], apoderado de la parte demandante en el proceso de la referencia. Considerando que el impedimento manifestado por el Consejero de Estado, […], cumple con el supuesto establecido en el numeral 9 del artículo 141 de la Ley 1564 y de la jurisprudencia citada supra, por cuanto mantiene una amistad íntima con el apoderado de la sociedad demandante, la Sala Unitaria lo declarará fundado.</w:t>
      </w:r>
    </w:p>
    <w:p w14:paraId="4E781517" w14:textId="77777777" w:rsidR="00EF53B5" w:rsidRPr="00431D53" w:rsidRDefault="00EF53B5" w:rsidP="001800C4">
      <w:pPr>
        <w:jc w:val="both"/>
        <w:rPr>
          <w:rFonts w:ascii="Arial" w:hAnsi="Arial" w:cs="Arial"/>
          <w:b/>
          <w:sz w:val="24"/>
          <w:szCs w:val="24"/>
        </w:rPr>
      </w:pPr>
    </w:p>
    <w:p w14:paraId="6FCDF416" w14:textId="77777777" w:rsidR="002726CA" w:rsidRPr="00431D53" w:rsidRDefault="002726CA" w:rsidP="001800C4">
      <w:pPr>
        <w:jc w:val="both"/>
        <w:rPr>
          <w:rFonts w:ascii="Arial" w:hAnsi="Arial" w:cs="Arial"/>
          <w:b/>
          <w:sz w:val="24"/>
          <w:szCs w:val="24"/>
        </w:rPr>
      </w:pPr>
      <w:r w:rsidRPr="00431D53">
        <w:rPr>
          <w:rFonts w:ascii="Arial" w:hAnsi="Arial" w:cs="Arial"/>
          <w:b/>
          <w:sz w:val="24"/>
          <w:szCs w:val="24"/>
        </w:rPr>
        <w:t>IMPEDIMENTOS Y RECUSACIONES – Concepto / IMPEDIMENTOS Y RECUSACIONES – Tienen su fundamento constitucional en el derecho al debido proceso</w:t>
      </w:r>
    </w:p>
    <w:p w14:paraId="4B19DCF0" w14:textId="77777777" w:rsidR="002726CA" w:rsidRPr="00431D53" w:rsidRDefault="002726CA" w:rsidP="001800C4">
      <w:pPr>
        <w:jc w:val="both"/>
        <w:rPr>
          <w:rFonts w:ascii="Arial" w:hAnsi="Arial" w:cs="Arial"/>
          <w:b/>
          <w:sz w:val="24"/>
          <w:szCs w:val="24"/>
        </w:rPr>
      </w:pPr>
    </w:p>
    <w:p w14:paraId="3A3DC139" w14:textId="77777777" w:rsidR="002726CA" w:rsidRPr="00431D53" w:rsidRDefault="002726CA" w:rsidP="001800C4">
      <w:pPr>
        <w:jc w:val="both"/>
        <w:rPr>
          <w:rFonts w:ascii="Arial" w:hAnsi="Arial" w:cs="Arial"/>
          <w:sz w:val="24"/>
          <w:szCs w:val="24"/>
        </w:rPr>
      </w:pPr>
      <w:r w:rsidRPr="00431D53">
        <w:rPr>
          <w:rFonts w:ascii="Arial" w:hAnsi="Arial" w:cs="Arial"/>
          <w:sz w:val="24"/>
          <w:szCs w:val="24"/>
        </w:rPr>
        <w:t>Los impedimentos y las recusaciones establecidas en la ley son mecanismos jurídicos que buscan garantizar que las decisiones adoptadas por los administradores judiciales estén enmarcadas dentro de los principios de imparcialidad, independencia y transparencia.</w:t>
      </w:r>
      <w:r w:rsidRPr="00431D53">
        <w:t xml:space="preserve"> </w:t>
      </w:r>
      <w:r w:rsidRPr="00431D53">
        <w:rPr>
          <w:rFonts w:ascii="Arial" w:hAnsi="Arial" w:cs="Arial"/>
          <w:sz w:val="24"/>
          <w:szCs w:val="24"/>
        </w:rPr>
        <w:t>Estas instituciones procesales tienen igualmente su fundamento constitucional en el derecho al debido proceso porque el trámite judicial adelantado por un juez subjetivamente incompetente no puede entenderse desarrollado bajo el amparo de la presunción de imparcialidad a la cual se llega solo en cuanto sea posible garantizar que el funcionario judicial procede y juzga con absoluta rectitud; esto es, apartado de designios anticipados o prevenciones que, al margen del análisis estrictamente probatorio y legal, puedan favorecer o perjudicar a una de las partes.</w:t>
      </w:r>
    </w:p>
    <w:p w14:paraId="6E2A7FF8" w14:textId="77777777" w:rsidR="002726CA" w:rsidRPr="00431D53" w:rsidRDefault="002726CA" w:rsidP="001800C4">
      <w:pPr>
        <w:jc w:val="both"/>
        <w:rPr>
          <w:rFonts w:ascii="Arial" w:hAnsi="Arial" w:cs="Arial"/>
          <w:b/>
          <w:sz w:val="24"/>
          <w:szCs w:val="24"/>
        </w:rPr>
      </w:pPr>
    </w:p>
    <w:p w14:paraId="6F7C4C3F" w14:textId="77777777" w:rsidR="00EF53B5" w:rsidRPr="00431D53" w:rsidRDefault="00EF53B5" w:rsidP="001800C4">
      <w:pPr>
        <w:jc w:val="both"/>
        <w:rPr>
          <w:rFonts w:ascii="Arial" w:hAnsi="Arial" w:cs="Arial"/>
          <w:b/>
          <w:sz w:val="24"/>
          <w:szCs w:val="24"/>
        </w:rPr>
      </w:pPr>
      <w:r w:rsidRPr="00431D53">
        <w:rPr>
          <w:rFonts w:ascii="Arial" w:hAnsi="Arial" w:cs="Arial"/>
          <w:b/>
          <w:sz w:val="24"/>
          <w:szCs w:val="24"/>
        </w:rPr>
        <w:t>NOTA DE RELATORÍA:</w:t>
      </w:r>
      <w:r w:rsidRPr="00431D53">
        <w:rPr>
          <w:rFonts w:ascii="Arial" w:hAnsi="Arial" w:cs="Arial"/>
          <w:sz w:val="24"/>
          <w:szCs w:val="24"/>
        </w:rPr>
        <w:t xml:space="preserve"> </w:t>
      </w:r>
      <w:r w:rsidR="002726CA" w:rsidRPr="00431D53">
        <w:rPr>
          <w:rFonts w:ascii="Arial" w:hAnsi="Arial" w:cs="Arial"/>
          <w:sz w:val="24"/>
          <w:szCs w:val="24"/>
        </w:rPr>
        <w:t xml:space="preserve">Corte Constitucional, </w:t>
      </w:r>
      <w:r w:rsidR="00BF2CB5">
        <w:rPr>
          <w:rFonts w:ascii="Arial" w:hAnsi="Arial" w:cs="Arial"/>
          <w:sz w:val="24"/>
          <w:szCs w:val="24"/>
        </w:rPr>
        <w:t>s</w:t>
      </w:r>
      <w:r w:rsidR="002726CA" w:rsidRPr="00431D53">
        <w:rPr>
          <w:rFonts w:ascii="Arial" w:hAnsi="Arial" w:cs="Arial"/>
          <w:sz w:val="24"/>
          <w:szCs w:val="24"/>
        </w:rPr>
        <w:t>entencia C-390 de 1993</w:t>
      </w:r>
      <w:r w:rsidRPr="00431D53">
        <w:rPr>
          <w:rFonts w:ascii="Arial" w:hAnsi="Arial" w:cs="Arial"/>
          <w:sz w:val="24"/>
          <w:szCs w:val="24"/>
        </w:rPr>
        <w:t xml:space="preserve"> </w:t>
      </w:r>
      <w:r w:rsidR="002726CA" w:rsidRPr="00431D53">
        <w:rPr>
          <w:rFonts w:ascii="Arial" w:hAnsi="Arial" w:cs="Arial"/>
          <w:sz w:val="24"/>
          <w:szCs w:val="24"/>
        </w:rPr>
        <w:t>M</w:t>
      </w:r>
      <w:r w:rsidRPr="00431D53">
        <w:rPr>
          <w:rFonts w:ascii="Arial" w:hAnsi="Arial" w:cs="Arial"/>
          <w:sz w:val="24"/>
          <w:szCs w:val="24"/>
        </w:rPr>
        <w:t xml:space="preserve">.P. </w:t>
      </w:r>
      <w:r w:rsidR="002726CA" w:rsidRPr="00431D53">
        <w:rPr>
          <w:rFonts w:ascii="Arial" w:hAnsi="Arial" w:cs="Arial"/>
          <w:sz w:val="24"/>
          <w:szCs w:val="24"/>
        </w:rPr>
        <w:t>A</w:t>
      </w:r>
      <w:r w:rsidR="00BF2CB5">
        <w:rPr>
          <w:rFonts w:ascii="Arial" w:hAnsi="Arial" w:cs="Arial"/>
          <w:sz w:val="24"/>
          <w:szCs w:val="24"/>
        </w:rPr>
        <w:t>lejandro Martínez Caballero; y a</w:t>
      </w:r>
      <w:bookmarkStart w:id="0" w:name="_GoBack"/>
      <w:bookmarkEnd w:id="0"/>
      <w:r w:rsidR="002726CA" w:rsidRPr="00431D53">
        <w:rPr>
          <w:rFonts w:ascii="Arial" w:hAnsi="Arial" w:cs="Arial"/>
          <w:sz w:val="24"/>
          <w:szCs w:val="24"/>
        </w:rPr>
        <w:t>uto 279 de 2016. M.P. Gloria Stella Ortiz Delgado.</w:t>
      </w:r>
    </w:p>
    <w:p w14:paraId="0E85F02C" w14:textId="77777777" w:rsidR="00EF53B5" w:rsidRPr="00431D53" w:rsidRDefault="00EF53B5" w:rsidP="001800C4">
      <w:pPr>
        <w:jc w:val="both"/>
        <w:rPr>
          <w:rFonts w:ascii="Arial" w:hAnsi="Arial" w:cs="Arial"/>
          <w:b/>
          <w:sz w:val="24"/>
          <w:szCs w:val="24"/>
        </w:rPr>
      </w:pPr>
    </w:p>
    <w:p w14:paraId="435B6F06" w14:textId="77777777" w:rsidR="00EF53B5" w:rsidRPr="00431D53" w:rsidRDefault="00EF53B5" w:rsidP="001800C4">
      <w:pPr>
        <w:jc w:val="both"/>
        <w:rPr>
          <w:rFonts w:ascii="Arial" w:hAnsi="Arial" w:cs="Arial"/>
          <w:sz w:val="24"/>
          <w:szCs w:val="24"/>
        </w:rPr>
      </w:pPr>
      <w:r w:rsidRPr="00431D53">
        <w:rPr>
          <w:rFonts w:ascii="Arial" w:hAnsi="Arial" w:cs="Arial"/>
          <w:b/>
          <w:sz w:val="24"/>
          <w:szCs w:val="24"/>
        </w:rPr>
        <w:t xml:space="preserve">FUENTE FORMAL: </w:t>
      </w:r>
      <w:r w:rsidR="002726CA" w:rsidRPr="00431D53">
        <w:rPr>
          <w:rFonts w:ascii="Arial" w:hAnsi="Arial" w:cs="Arial"/>
          <w:sz w:val="24"/>
          <w:szCs w:val="24"/>
        </w:rPr>
        <w:t>CÓDIGO CONTENCIOSO ADMINISTRATIVO – ARTÍCULO 160 / CÓDIGO CONTENCIOSO ADMINISTRATIVO – ARTÍCULO 160A / CÓDIGO GENERAL DEL PROCESO – ARTÍCULO 141 NUMERAL 9</w:t>
      </w:r>
    </w:p>
    <w:p w14:paraId="25BF0502" w14:textId="77777777" w:rsidR="00EF53B5" w:rsidRPr="00431D53" w:rsidRDefault="00EF53B5" w:rsidP="00EF53B5">
      <w:pPr>
        <w:rPr>
          <w:rFonts w:ascii="Arial" w:hAnsi="Arial" w:cs="Arial"/>
          <w:b/>
          <w:sz w:val="24"/>
          <w:szCs w:val="24"/>
        </w:rPr>
      </w:pPr>
    </w:p>
    <w:p w14:paraId="2C2FF0AC" w14:textId="77777777" w:rsidR="00EF53B5" w:rsidRPr="00431D53" w:rsidRDefault="00EF53B5" w:rsidP="00EF53B5">
      <w:pPr>
        <w:rPr>
          <w:rFonts w:ascii="Arial" w:hAnsi="Arial" w:cs="Arial"/>
          <w:b/>
          <w:sz w:val="24"/>
          <w:szCs w:val="24"/>
        </w:rPr>
      </w:pPr>
    </w:p>
    <w:p w14:paraId="4630D33F" w14:textId="77777777" w:rsidR="001460E8" w:rsidRPr="00431D53" w:rsidRDefault="001460E8" w:rsidP="001460E8">
      <w:pPr>
        <w:jc w:val="center"/>
        <w:rPr>
          <w:rFonts w:ascii="Arial" w:hAnsi="Arial" w:cs="Arial"/>
          <w:b/>
          <w:sz w:val="24"/>
          <w:szCs w:val="24"/>
        </w:rPr>
      </w:pPr>
      <w:r w:rsidRPr="00431D53">
        <w:rPr>
          <w:rFonts w:ascii="Arial" w:hAnsi="Arial" w:cs="Arial"/>
          <w:b/>
          <w:sz w:val="24"/>
          <w:szCs w:val="24"/>
        </w:rPr>
        <w:t>CONSEJO DE ESTADO</w:t>
      </w:r>
    </w:p>
    <w:p w14:paraId="5A24ECC7" w14:textId="77777777" w:rsidR="001460E8" w:rsidRPr="00431D53" w:rsidRDefault="001460E8" w:rsidP="001460E8">
      <w:pPr>
        <w:jc w:val="center"/>
        <w:rPr>
          <w:rFonts w:ascii="Arial" w:hAnsi="Arial" w:cs="Arial"/>
          <w:b/>
          <w:sz w:val="24"/>
          <w:szCs w:val="24"/>
        </w:rPr>
      </w:pPr>
    </w:p>
    <w:p w14:paraId="559C86C7" w14:textId="77777777" w:rsidR="001460E8" w:rsidRPr="00431D53" w:rsidRDefault="001460E8" w:rsidP="001460E8">
      <w:pPr>
        <w:jc w:val="center"/>
        <w:rPr>
          <w:rFonts w:ascii="Arial" w:hAnsi="Arial" w:cs="Arial"/>
          <w:b/>
          <w:sz w:val="24"/>
          <w:szCs w:val="24"/>
        </w:rPr>
      </w:pPr>
      <w:r w:rsidRPr="00431D53">
        <w:rPr>
          <w:rFonts w:ascii="Arial" w:hAnsi="Arial" w:cs="Arial"/>
          <w:b/>
          <w:sz w:val="24"/>
          <w:szCs w:val="24"/>
        </w:rPr>
        <w:t>SALA DE LO CONTENCIOSO ADMINISTRATIVO</w:t>
      </w:r>
    </w:p>
    <w:p w14:paraId="70EB5D20" w14:textId="77777777" w:rsidR="001460E8" w:rsidRPr="00431D53" w:rsidRDefault="001460E8" w:rsidP="001460E8">
      <w:pPr>
        <w:jc w:val="center"/>
        <w:rPr>
          <w:rFonts w:ascii="Arial" w:hAnsi="Arial" w:cs="Arial"/>
          <w:b/>
          <w:sz w:val="24"/>
          <w:szCs w:val="24"/>
        </w:rPr>
      </w:pPr>
    </w:p>
    <w:p w14:paraId="106096DB" w14:textId="77777777" w:rsidR="001460E8" w:rsidRPr="00431D53" w:rsidRDefault="001460E8" w:rsidP="001460E8">
      <w:pPr>
        <w:jc w:val="center"/>
        <w:rPr>
          <w:rFonts w:ascii="Arial" w:hAnsi="Arial" w:cs="Arial"/>
          <w:b/>
          <w:sz w:val="24"/>
          <w:szCs w:val="24"/>
        </w:rPr>
      </w:pPr>
      <w:r w:rsidRPr="00431D53">
        <w:rPr>
          <w:rFonts w:ascii="Arial" w:hAnsi="Arial" w:cs="Arial"/>
          <w:b/>
          <w:sz w:val="24"/>
          <w:szCs w:val="24"/>
        </w:rPr>
        <w:t>SECCIÓN PRIMERA</w:t>
      </w:r>
    </w:p>
    <w:p w14:paraId="6487F758" w14:textId="77777777" w:rsidR="001460E8" w:rsidRPr="00431D53" w:rsidRDefault="001460E8" w:rsidP="001460E8">
      <w:pPr>
        <w:jc w:val="center"/>
        <w:rPr>
          <w:rFonts w:ascii="Arial" w:hAnsi="Arial" w:cs="Arial"/>
          <w:b/>
          <w:sz w:val="24"/>
          <w:szCs w:val="24"/>
        </w:rPr>
      </w:pPr>
    </w:p>
    <w:p w14:paraId="4F28D61E" w14:textId="77777777" w:rsidR="001460E8" w:rsidRPr="00431D53" w:rsidRDefault="001460E8" w:rsidP="001460E8">
      <w:pPr>
        <w:jc w:val="center"/>
        <w:rPr>
          <w:rFonts w:ascii="Arial" w:hAnsi="Arial" w:cs="Arial"/>
          <w:b/>
          <w:sz w:val="24"/>
          <w:szCs w:val="24"/>
        </w:rPr>
      </w:pPr>
      <w:r w:rsidRPr="00431D53">
        <w:rPr>
          <w:rFonts w:ascii="Arial" w:hAnsi="Arial" w:cs="Arial"/>
          <w:b/>
          <w:sz w:val="24"/>
          <w:szCs w:val="24"/>
        </w:rPr>
        <w:t>Consejero ponente: HERNANDO SÁNCHEZ SÁNCHEZ</w:t>
      </w:r>
    </w:p>
    <w:p w14:paraId="6CAB0CFF" w14:textId="77777777" w:rsidR="001460E8" w:rsidRPr="00431D53" w:rsidRDefault="001460E8" w:rsidP="001460E8">
      <w:pPr>
        <w:jc w:val="both"/>
        <w:rPr>
          <w:rFonts w:ascii="Arial" w:hAnsi="Arial" w:cs="Arial"/>
          <w:sz w:val="24"/>
          <w:szCs w:val="24"/>
        </w:rPr>
      </w:pPr>
    </w:p>
    <w:p w14:paraId="791E7324" w14:textId="77777777" w:rsidR="001460E8" w:rsidRPr="00431D53" w:rsidRDefault="001460E8" w:rsidP="001460E8">
      <w:pPr>
        <w:pStyle w:val="p2"/>
        <w:rPr>
          <w:rStyle w:val="apple-converted-space"/>
          <w:bCs/>
          <w:sz w:val="24"/>
          <w:szCs w:val="24"/>
          <w:lang w:val="es-CO"/>
        </w:rPr>
      </w:pPr>
      <w:r w:rsidRPr="00431D53">
        <w:rPr>
          <w:bCs/>
          <w:sz w:val="24"/>
          <w:szCs w:val="24"/>
          <w:lang w:val="es-CO"/>
        </w:rPr>
        <w:t>Bogotá, D.C., veintiocho (28) de febrero de dos mil veinte (2020)</w:t>
      </w:r>
    </w:p>
    <w:p w14:paraId="20342A7C" w14:textId="77777777" w:rsidR="001460E8" w:rsidRPr="00431D53" w:rsidRDefault="001460E8" w:rsidP="001460E8">
      <w:pPr>
        <w:jc w:val="both"/>
        <w:rPr>
          <w:rFonts w:ascii="Arial" w:hAnsi="Arial" w:cs="Arial"/>
          <w:b/>
          <w:sz w:val="24"/>
          <w:szCs w:val="24"/>
        </w:rPr>
      </w:pPr>
    </w:p>
    <w:p w14:paraId="0C4E9B03" w14:textId="77777777" w:rsidR="001460E8" w:rsidRPr="00431D53" w:rsidRDefault="001460E8" w:rsidP="001460E8">
      <w:pPr>
        <w:jc w:val="both"/>
        <w:rPr>
          <w:rFonts w:ascii="Arial" w:hAnsi="Arial" w:cs="Arial"/>
          <w:b/>
          <w:sz w:val="24"/>
          <w:szCs w:val="24"/>
        </w:rPr>
      </w:pPr>
      <w:r w:rsidRPr="00431D53">
        <w:rPr>
          <w:rFonts w:ascii="Arial" w:hAnsi="Arial" w:cs="Arial"/>
          <w:b/>
          <w:sz w:val="24"/>
          <w:szCs w:val="24"/>
        </w:rPr>
        <w:t>Radicación número: 11001-03-24-000-2010-00368-00</w:t>
      </w:r>
    </w:p>
    <w:p w14:paraId="3E9D6BE6" w14:textId="77777777" w:rsidR="001460E8" w:rsidRPr="00431D53" w:rsidRDefault="001460E8" w:rsidP="001460E8">
      <w:pPr>
        <w:jc w:val="both"/>
        <w:rPr>
          <w:rFonts w:ascii="Arial" w:hAnsi="Arial" w:cs="Arial"/>
          <w:b/>
          <w:sz w:val="24"/>
          <w:szCs w:val="24"/>
        </w:rPr>
      </w:pPr>
    </w:p>
    <w:p w14:paraId="38413E08" w14:textId="77777777" w:rsidR="001460E8" w:rsidRPr="00431D53" w:rsidRDefault="001460E8" w:rsidP="001460E8">
      <w:pPr>
        <w:jc w:val="both"/>
        <w:rPr>
          <w:rFonts w:ascii="Arial" w:hAnsi="Arial" w:cs="Arial"/>
          <w:b/>
          <w:sz w:val="24"/>
          <w:szCs w:val="24"/>
        </w:rPr>
      </w:pPr>
      <w:r w:rsidRPr="00431D53">
        <w:rPr>
          <w:rFonts w:ascii="Arial" w:hAnsi="Arial" w:cs="Arial"/>
          <w:b/>
          <w:sz w:val="24"/>
          <w:szCs w:val="24"/>
        </w:rPr>
        <w:lastRenderedPageBreak/>
        <w:t>Actor: INTERCONEXIÓN ELÉCTRICA S.A. E.S.P</w:t>
      </w:r>
    </w:p>
    <w:p w14:paraId="39F58CD4" w14:textId="77777777" w:rsidR="001460E8" w:rsidRPr="00431D53" w:rsidRDefault="001460E8" w:rsidP="001460E8">
      <w:pPr>
        <w:jc w:val="both"/>
        <w:rPr>
          <w:rFonts w:ascii="Arial" w:hAnsi="Arial" w:cs="Arial"/>
          <w:b/>
          <w:sz w:val="24"/>
          <w:szCs w:val="24"/>
        </w:rPr>
      </w:pPr>
    </w:p>
    <w:p w14:paraId="1C286547" w14:textId="77777777" w:rsidR="001460E8" w:rsidRPr="00431D53" w:rsidRDefault="001460E8" w:rsidP="001460E8">
      <w:pPr>
        <w:jc w:val="both"/>
        <w:rPr>
          <w:rFonts w:ascii="Arial" w:hAnsi="Arial" w:cs="Arial"/>
          <w:b/>
          <w:sz w:val="24"/>
          <w:szCs w:val="24"/>
        </w:rPr>
      </w:pPr>
      <w:r w:rsidRPr="00431D53">
        <w:rPr>
          <w:rFonts w:ascii="Arial" w:hAnsi="Arial" w:cs="Arial"/>
          <w:b/>
          <w:sz w:val="24"/>
          <w:szCs w:val="24"/>
        </w:rPr>
        <w:t>Demandado: NACIÓN – MINISTERIO DE MINAS Y ENERGÍA – COMISIÓN DE REGULACIÓN DE ENERGÍA Y GAS</w:t>
      </w:r>
    </w:p>
    <w:p w14:paraId="54C21A7A" w14:textId="77777777" w:rsidR="001460E8" w:rsidRPr="00431D53" w:rsidRDefault="001460E8" w:rsidP="001460E8">
      <w:pPr>
        <w:jc w:val="both"/>
        <w:rPr>
          <w:rFonts w:ascii="Arial" w:hAnsi="Arial" w:cs="Arial"/>
          <w:b/>
          <w:sz w:val="24"/>
          <w:szCs w:val="24"/>
        </w:rPr>
      </w:pPr>
    </w:p>
    <w:p w14:paraId="357E9150" w14:textId="77777777" w:rsidR="001460E8" w:rsidRPr="00431D53" w:rsidRDefault="001460E8" w:rsidP="001460E8">
      <w:pPr>
        <w:rPr>
          <w:rFonts w:ascii="Arial" w:eastAsia="Times New Roman" w:hAnsi="Arial" w:cs="Arial"/>
          <w:b/>
          <w:bCs/>
          <w:sz w:val="24"/>
          <w:szCs w:val="24"/>
        </w:rPr>
      </w:pPr>
      <w:r w:rsidRPr="00431D53">
        <w:rPr>
          <w:rFonts w:ascii="Arial" w:hAnsi="Arial" w:cs="Arial"/>
          <w:b/>
          <w:sz w:val="24"/>
          <w:szCs w:val="24"/>
        </w:rPr>
        <w:t>Referencia: Acción de nulidad y restablecimiento del derecho</w:t>
      </w:r>
    </w:p>
    <w:p w14:paraId="53997F7B" w14:textId="77777777" w:rsidR="001460E8" w:rsidRPr="00431D53" w:rsidRDefault="001460E8" w:rsidP="001460E8">
      <w:pPr>
        <w:rPr>
          <w:rFonts w:ascii="Arial" w:hAnsi="Arial" w:cs="Arial"/>
          <w:b/>
          <w:sz w:val="24"/>
          <w:szCs w:val="24"/>
        </w:rPr>
      </w:pPr>
    </w:p>
    <w:p w14:paraId="42BC6E38" w14:textId="77777777" w:rsidR="005B62E6" w:rsidRPr="00431D53" w:rsidRDefault="005B62E6" w:rsidP="001460E8">
      <w:pPr>
        <w:jc w:val="both"/>
        <w:rPr>
          <w:rFonts w:ascii="Arial" w:hAnsi="Arial" w:cs="Arial"/>
          <w:b/>
          <w:sz w:val="24"/>
          <w:szCs w:val="24"/>
        </w:rPr>
      </w:pPr>
      <w:r w:rsidRPr="00431D53">
        <w:rPr>
          <w:rFonts w:ascii="Arial" w:hAnsi="Arial" w:cs="Arial"/>
          <w:b/>
          <w:sz w:val="24"/>
          <w:szCs w:val="24"/>
        </w:rPr>
        <w:t>Asunto: Resuelve sobre el impedimento manifestado por el Consejero de Estado, doctor Oswaldo Giraldo López</w:t>
      </w:r>
    </w:p>
    <w:p w14:paraId="51DD40B2" w14:textId="77777777" w:rsidR="005B62E6" w:rsidRPr="00431D53" w:rsidRDefault="005B62E6" w:rsidP="001460E8">
      <w:pPr>
        <w:jc w:val="both"/>
        <w:rPr>
          <w:rFonts w:ascii="Arial" w:hAnsi="Arial" w:cs="Arial"/>
          <w:b/>
          <w:sz w:val="24"/>
          <w:szCs w:val="24"/>
        </w:rPr>
      </w:pPr>
    </w:p>
    <w:p w14:paraId="3007CB26" w14:textId="77777777" w:rsidR="005B62E6" w:rsidRPr="00431D53" w:rsidRDefault="001460E8" w:rsidP="001460E8">
      <w:pPr>
        <w:rPr>
          <w:rFonts w:ascii="Arial" w:hAnsi="Arial" w:cs="Arial"/>
          <w:b/>
          <w:sz w:val="24"/>
          <w:szCs w:val="24"/>
        </w:rPr>
      </w:pPr>
      <w:r w:rsidRPr="00431D53">
        <w:rPr>
          <w:rFonts w:ascii="Arial" w:hAnsi="Arial" w:cs="Arial"/>
          <w:b/>
          <w:sz w:val="24"/>
          <w:szCs w:val="24"/>
        </w:rPr>
        <w:t>AUTO INTERLOCUTORIO</w:t>
      </w:r>
    </w:p>
    <w:p w14:paraId="36094C85" w14:textId="77777777" w:rsidR="001460E8" w:rsidRPr="00431D53" w:rsidRDefault="001460E8" w:rsidP="001460E8">
      <w:pPr>
        <w:rPr>
          <w:rFonts w:ascii="Arial" w:hAnsi="Arial" w:cs="Arial"/>
          <w:b/>
          <w:sz w:val="24"/>
          <w:szCs w:val="24"/>
        </w:rPr>
      </w:pPr>
    </w:p>
    <w:p w14:paraId="1DC94A62" w14:textId="77777777" w:rsidR="001460E8" w:rsidRPr="00431D53" w:rsidRDefault="001460E8" w:rsidP="001460E8">
      <w:pPr>
        <w:rPr>
          <w:rFonts w:ascii="Arial" w:hAnsi="Arial" w:cs="Arial"/>
          <w:b/>
          <w:sz w:val="24"/>
          <w:szCs w:val="24"/>
        </w:rPr>
      </w:pPr>
    </w:p>
    <w:p w14:paraId="4E3750B1" w14:textId="77777777" w:rsidR="005B62E6" w:rsidRPr="00431D53" w:rsidRDefault="005B62E6" w:rsidP="001460E8">
      <w:pPr>
        <w:jc w:val="both"/>
        <w:rPr>
          <w:rFonts w:ascii="Arial" w:hAnsi="Arial" w:cs="Arial"/>
          <w:sz w:val="24"/>
          <w:szCs w:val="24"/>
        </w:rPr>
      </w:pPr>
    </w:p>
    <w:p w14:paraId="3B1F6DE5" w14:textId="77777777" w:rsidR="005B62E6" w:rsidRPr="00431D53" w:rsidRDefault="005B62E6" w:rsidP="005B62E6">
      <w:pPr>
        <w:spacing w:line="360" w:lineRule="auto"/>
        <w:jc w:val="both"/>
        <w:rPr>
          <w:rFonts w:ascii="Arial" w:hAnsi="Arial" w:cs="Arial"/>
          <w:sz w:val="24"/>
          <w:szCs w:val="24"/>
        </w:rPr>
      </w:pPr>
      <w:r w:rsidRPr="00431D53">
        <w:rPr>
          <w:rFonts w:ascii="Arial" w:hAnsi="Arial" w:cs="Arial"/>
          <w:bCs/>
          <w:spacing w:val="-3"/>
          <w:sz w:val="24"/>
          <w:szCs w:val="24"/>
        </w:rPr>
        <w:t xml:space="preserve">Este Despacho </w:t>
      </w:r>
      <w:r w:rsidRPr="00431D53">
        <w:rPr>
          <w:rStyle w:val="Ninguno"/>
          <w:rFonts w:ascii="Arial" w:hAnsi="Arial" w:cs="Arial"/>
          <w:sz w:val="24"/>
          <w:szCs w:val="24"/>
        </w:rPr>
        <w:t>procede a pronunciarse sobre</w:t>
      </w:r>
      <w:r w:rsidRPr="00431D53">
        <w:rPr>
          <w:rFonts w:ascii="Arial" w:hAnsi="Arial" w:cs="Arial"/>
          <w:sz w:val="24"/>
          <w:szCs w:val="24"/>
        </w:rPr>
        <w:t xml:space="preserve"> el impedimento manifestado por el Consejero de Estado, doctor Oswaldo Giraldo López, para conocer del presente asunto, en los siguientes términos:</w:t>
      </w:r>
    </w:p>
    <w:p w14:paraId="3FC7AAA1" w14:textId="77777777" w:rsidR="005B62E6" w:rsidRPr="00431D53" w:rsidRDefault="005B62E6" w:rsidP="00BF2CB5">
      <w:pPr>
        <w:rPr>
          <w:rFonts w:ascii="Arial" w:hAnsi="Arial" w:cs="Arial"/>
          <w:sz w:val="24"/>
          <w:szCs w:val="24"/>
        </w:rPr>
      </w:pPr>
    </w:p>
    <w:p w14:paraId="69E9C46B" w14:textId="77777777" w:rsidR="005B62E6" w:rsidRPr="00431D53" w:rsidRDefault="005B62E6" w:rsidP="005B62E6">
      <w:pPr>
        <w:spacing w:line="360" w:lineRule="auto"/>
        <w:jc w:val="center"/>
        <w:rPr>
          <w:rFonts w:ascii="Arial" w:hAnsi="Arial" w:cs="Arial"/>
          <w:b/>
          <w:sz w:val="24"/>
          <w:szCs w:val="24"/>
        </w:rPr>
      </w:pPr>
      <w:r w:rsidRPr="00431D53">
        <w:rPr>
          <w:rFonts w:ascii="Arial" w:hAnsi="Arial" w:cs="Arial"/>
          <w:b/>
          <w:sz w:val="24"/>
          <w:szCs w:val="24"/>
        </w:rPr>
        <w:t>I. ANTECEDENTES</w:t>
      </w:r>
    </w:p>
    <w:p w14:paraId="48212638" w14:textId="77777777" w:rsidR="005B62E6" w:rsidRPr="00431D53" w:rsidRDefault="005B62E6" w:rsidP="00EF53B5">
      <w:pPr>
        <w:spacing w:line="360" w:lineRule="auto"/>
        <w:rPr>
          <w:rFonts w:ascii="Arial" w:hAnsi="Arial" w:cs="Arial"/>
          <w:b/>
          <w:sz w:val="24"/>
          <w:szCs w:val="24"/>
        </w:rPr>
      </w:pPr>
    </w:p>
    <w:p w14:paraId="3AC41B05" w14:textId="77777777" w:rsidR="005B62E6" w:rsidRPr="00431D53" w:rsidRDefault="005B62E6" w:rsidP="005B62E6">
      <w:pPr>
        <w:spacing w:line="360" w:lineRule="auto"/>
        <w:jc w:val="both"/>
        <w:rPr>
          <w:rFonts w:ascii="Arial" w:hAnsi="Arial" w:cs="Arial"/>
          <w:b/>
          <w:sz w:val="24"/>
          <w:szCs w:val="24"/>
        </w:rPr>
      </w:pPr>
      <w:r w:rsidRPr="00431D53">
        <w:rPr>
          <w:rFonts w:ascii="Arial" w:hAnsi="Arial" w:cs="Arial"/>
          <w:spacing w:val="-3"/>
          <w:sz w:val="24"/>
          <w:szCs w:val="24"/>
          <w:shd w:val="clear" w:color="auto" w:fill="FFFFFF"/>
        </w:rPr>
        <w:t>1.</w:t>
      </w:r>
      <w:r w:rsidRPr="00431D53">
        <w:rPr>
          <w:rFonts w:ascii="Arial" w:hAnsi="Arial" w:cs="Arial"/>
          <w:spacing w:val="-3"/>
          <w:sz w:val="24"/>
          <w:szCs w:val="24"/>
        </w:rPr>
        <w:t xml:space="preserve"> </w:t>
      </w:r>
      <w:r w:rsidRPr="00431D53">
        <w:rPr>
          <w:rFonts w:ascii="Arial" w:hAnsi="Arial" w:cs="Arial"/>
          <w:sz w:val="24"/>
          <w:szCs w:val="24"/>
        </w:rPr>
        <w:t xml:space="preserve">Interconexión Eléctrica S.A. E.S.P., por medio de apoderado, </w:t>
      </w:r>
      <w:r w:rsidRPr="00431D53">
        <w:rPr>
          <w:rFonts w:ascii="Arial" w:hAnsi="Arial" w:cs="Arial"/>
          <w:spacing w:val="-3"/>
          <w:sz w:val="24"/>
          <w:szCs w:val="24"/>
        </w:rPr>
        <w:t>presentó demanda contra la Nación</w:t>
      </w:r>
      <w:r w:rsidR="00EF53B5" w:rsidRPr="00431D53">
        <w:rPr>
          <w:rFonts w:ascii="Arial" w:hAnsi="Arial" w:cs="Arial"/>
          <w:spacing w:val="-3"/>
          <w:sz w:val="24"/>
          <w:szCs w:val="24"/>
        </w:rPr>
        <w:t xml:space="preserve"> –</w:t>
      </w:r>
      <w:r w:rsidRPr="00431D53">
        <w:rPr>
          <w:rFonts w:ascii="Arial" w:hAnsi="Arial" w:cs="Arial"/>
          <w:spacing w:val="-3"/>
          <w:sz w:val="24"/>
          <w:szCs w:val="24"/>
        </w:rPr>
        <w:t xml:space="preserve"> Ministerio de Minas y Energía</w:t>
      </w:r>
      <w:r w:rsidR="00EF53B5" w:rsidRPr="00431D53">
        <w:rPr>
          <w:rFonts w:ascii="Arial" w:hAnsi="Arial" w:cs="Arial"/>
          <w:spacing w:val="-3"/>
          <w:sz w:val="24"/>
          <w:szCs w:val="24"/>
        </w:rPr>
        <w:t xml:space="preserve"> –</w:t>
      </w:r>
      <w:r w:rsidRPr="00431D53">
        <w:rPr>
          <w:rFonts w:ascii="Arial" w:hAnsi="Arial" w:cs="Arial"/>
          <w:spacing w:val="-3"/>
          <w:sz w:val="24"/>
          <w:szCs w:val="24"/>
        </w:rPr>
        <w:t xml:space="preserve"> Comisión de Regulación de Energía y Gas</w:t>
      </w:r>
      <w:r w:rsidR="001460E8" w:rsidRPr="00431D53">
        <w:rPr>
          <w:rStyle w:val="FootnoteReference"/>
          <w:rFonts w:ascii="Arial" w:hAnsi="Arial" w:cs="Arial"/>
          <w:sz w:val="24"/>
          <w:szCs w:val="24"/>
        </w:rPr>
        <w:footnoteReference w:id="1"/>
      </w:r>
      <w:r w:rsidRPr="00431D53">
        <w:rPr>
          <w:rFonts w:ascii="Arial" w:hAnsi="Arial" w:cs="Arial"/>
          <w:spacing w:val="-3"/>
          <w:sz w:val="24"/>
          <w:szCs w:val="24"/>
        </w:rPr>
        <w:t xml:space="preserve">, </w:t>
      </w:r>
      <w:r w:rsidRPr="00431D53">
        <w:rPr>
          <w:rFonts w:ascii="Arial" w:hAnsi="Arial" w:cs="Arial"/>
          <w:sz w:val="24"/>
          <w:szCs w:val="24"/>
        </w:rPr>
        <w:t>en ejercicio de la acción de nulidad y restablecimiento del derecho</w:t>
      </w:r>
      <w:r w:rsidRPr="00431D53">
        <w:rPr>
          <w:rStyle w:val="FootnoteReference"/>
          <w:rFonts w:ascii="Arial" w:hAnsi="Arial" w:cs="Arial"/>
          <w:sz w:val="24"/>
          <w:szCs w:val="24"/>
        </w:rPr>
        <w:footnoteReference w:id="2"/>
      </w:r>
      <w:r w:rsidRPr="00431D53">
        <w:rPr>
          <w:rFonts w:ascii="Arial" w:hAnsi="Arial" w:cs="Arial"/>
          <w:sz w:val="24"/>
          <w:szCs w:val="24"/>
        </w:rPr>
        <w:t>, prevista en el artículo 85 del Decreto Ley 01 de 2 de enero de 1984</w:t>
      </w:r>
      <w:r w:rsidRPr="00431D53">
        <w:rPr>
          <w:rStyle w:val="FootnoteReference"/>
          <w:rFonts w:ascii="Arial" w:hAnsi="Arial" w:cs="Arial"/>
          <w:sz w:val="24"/>
          <w:szCs w:val="24"/>
        </w:rPr>
        <w:footnoteReference w:id="3"/>
      </w:r>
      <w:r w:rsidRPr="00431D53">
        <w:rPr>
          <w:rFonts w:ascii="Arial" w:hAnsi="Arial" w:cs="Arial"/>
          <w:sz w:val="24"/>
          <w:szCs w:val="24"/>
        </w:rPr>
        <w:t>, para que se declare la nulidad parcial de los siguientes actos administrativos:</w:t>
      </w:r>
    </w:p>
    <w:p w14:paraId="104D5F25" w14:textId="77777777" w:rsidR="005B62E6" w:rsidRPr="00431D53" w:rsidRDefault="005B62E6" w:rsidP="005B62E6">
      <w:pPr>
        <w:tabs>
          <w:tab w:val="left" w:pos="-1440"/>
          <w:tab w:val="left" w:pos="-720"/>
          <w:tab w:val="left" w:pos="2268"/>
          <w:tab w:val="left" w:pos="5668"/>
        </w:tabs>
        <w:suppressAutoHyphens/>
        <w:spacing w:line="360" w:lineRule="auto"/>
        <w:jc w:val="both"/>
        <w:rPr>
          <w:rFonts w:ascii="Arial" w:hAnsi="Arial" w:cs="Arial"/>
          <w:spacing w:val="-3"/>
          <w:sz w:val="24"/>
          <w:szCs w:val="24"/>
          <w:shd w:val="clear" w:color="auto" w:fill="FFFFFF"/>
        </w:rPr>
      </w:pPr>
    </w:p>
    <w:p w14:paraId="0347B722" w14:textId="77777777" w:rsidR="005B62E6" w:rsidRPr="00431D53" w:rsidRDefault="005B62E6" w:rsidP="005B62E6">
      <w:pPr>
        <w:tabs>
          <w:tab w:val="left" w:pos="2813"/>
          <w:tab w:val="left" w:pos="5080"/>
        </w:tabs>
        <w:suppressAutoHyphens/>
        <w:spacing w:line="360" w:lineRule="auto"/>
        <w:ind w:left="567"/>
        <w:jc w:val="both"/>
        <w:rPr>
          <w:rFonts w:ascii="Arial" w:hAnsi="Arial" w:cs="Arial"/>
          <w:sz w:val="24"/>
          <w:szCs w:val="24"/>
        </w:rPr>
      </w:pPr>
      <w:r w:rsidRPr="00431D53">
        <w:rPr>
          <w:rFonts w:ascii="Arial" w:hAnsi="Arial" w:cs="Arial"/>
          <w:sz w:val="24"/>
          <w:szCs w:val="24"/>
        </w:rPr>
        <w:t>1.1. El artículo 10 literal b de la Resolución 22 de 20 de febrero de 2001</w:t>
      </w:r>
      <w:r w:rsidRPr="00431D53">
        <w:rPr>
          <w:rStyle w:val="FootnoteReference"/>
          <w:rFonts w:ascii="Arial" w:hAnsi="Arial" w:cs="Arial"/>
          <w:sz w:val="24"/>
          <w:szCs w:val="24"/>
        </w:rPr>
        <w:footnoteReference w:id="4"/>
      </w:r>
      <w:r w:rsidRPr="00431D53">
        <w:rPr>
          <w:rFonts w:ascii="Arial" w:hAnsi="Arial" w:cs="Arial"/>
          <w:sz w:val="24"/>
          <w:szCs w:val="24"/>
        </w:rPr>
        <w:t>,</w:t>
      </w:r>
      <w:r w:rsidRPr="00431D53">
        <w:rPr>
          <w:rFonts w:ascii="Arial" w:hAnsi="Arial" w:cs="Arial"/>
          <w:i/>
          <w:sz w:val="24"/>
          <w:szCs w:val="24"/>
        </w:rPr>
        <w:t xml:space="preserve"> “[…] Por la cual se modifican en incorporan las disposiciones establecidas en la Resolución CREG-051 de 1998, modificada por las Resoluciones CREG-004 y CREG-045 de 1999, mediante las cuales se aprobaron los principios generales y los procedimientos para definir el plan de expansión de referencia del Sistema de Transmisión Nacional, y se estableció la metodología para determinar el Ingreso Regulado por concepto del Uso de este Sistema[…]”</w:t>
      </w:r>
      <w:r w:rsidRPr="00431D53">
        <w:rPr>
          <w:rFonts w:ascii="Arial" w:hAnsi="Arial" w:cs="Arial"/>
          <w:sz w:val="24"/>
          <w:szCs w:val="24"/>
        </w:rPr>
        <w:t>,</w:t>
      </w:r>
      <w:r w:rsidRPr="00431D53">
        <w:rPr>
          <w:rFonts w:ascii="Arial" w:hAnsi="Arial" w:cs="Arial"/>
          <w:i/>
          <w:sz w:val="24"/>
          <w:szCs w:val="24"/>
        </w:rPr>
        <w:t xml:space="preserve"> </w:t>
      </w:r>
      <w:r w:rsidRPr="00431D53">
        <w:rPr>
          <w:rFonts w:ascii="Arial" w:hAnsi="Arial" w:cs="Arial"/>
          <w:sz w:val="24"/>
          <w:szCs w:val="24"/>
        </w:rPr>
        <w:t>expedida por el</w:t>
      </w:r>
      <w:r w:rsidRPr="00431D53">
        <w:rPr>
          <w:rFonts w:ascii="Arial" w:hAnsi="Arial" w:cs="Arial"/>
          <w:i/>
          <w:sz w:val="24"/>
          <w:szCs w:val="24"/>
        </w:rPr>
        <w:t xml:space="preserve"> </w:t>
      </w:r>
      <w:r w:rsidRPr="00431D53">
        <w:rPr>
          <w:rFonts w:ascii="Arial" w:hAnsi="Arial" w:cs="Arial"/>
          <w:sz w:val="24"/>
          <w:szCs w:val="24"/>
        </w:rPr>
        <w:t>Presidente y el Director Ejecutivo de la Comisión de Regulación de Energía y Gas</w:t>
      </w:r>
      <w:r w:rsidRPr="00431D53">
        <w:rPr>
          <w:rStyle w:val="FootnoteReference"/>
          <w:rFonts w:ascii="Arial" w:hAnsi="Arial" w:cs="Arial"/>
          <w:sz w:val="24"/>
          <w:szCs w:val="24"/>
        </w:rPr>
        <w:footnoteReference w:id="5"/>
      </w:r>
      <w:r w:rsidRPr="00431D53">
        <w:rPr>
          <w:rFonts w:ascii="Arial" w:hAnsi="Arial" w:cs="Arial"/>
          <w:sz w:val="24"/>
          <w:szCs w:val="24"/>
        </w:rPr>
        <w:t>.</w:t>
      </w:r>
    </w:p>
    <w:p w14:paraId="714938AA" w14:textId="77777777" w:rsidR="005B62E6" w:rsidRPr="00431D53" w:rsidRDefault="005B62E6" w:rsidP="005B62E6">
      <w:pPr>
        <w:tabs>
          <w:tab w:val="left" w:pos="2813"/>
          <w:tab w:val="left" w:pos="5080"/>
        </w:tabs>
        <w:suppressAutoHyphens/>
        <w:spacing w:line="360" w:lineRule="auto"/>
        <w:ind w:left="567"/>
        <w:jc w:val="both"/>
        <w:rPr>
          <w:rFonts w:ascii="Arial" w:hAnsi="Arial" w:cs="Arial"/>
          <w:sz w:val="24"/>
          <w:szCs w:val="24"/>
        </w:rPr>
      </w:pPr>
    </w:p>
    <w:p w14:paraId="210FBD22" w14:textId="77777777" w:rsidR="005B62E6" w:rsidRPr="00431D53" w:rsidRDefault="005B62E6" w:rsidP="005B62E6">
      <w:pPr>
        <w:tabs>
          <w:tab w:val="left" w:pos="2813"/>
          <w:tab w:val="left" w:pos="5080"/>
        </w:tabs>
        <w:suppressAutoHyphens/>
        <w:spacing w:line="360" w:lineRule="auto"/>
        <w:ind w:left="567"/>
        <w:jc w:val="both"/>
        <w:rPr>
          <w:rFonts w:ascii="Arial" w:hAnsi="Arial" w:cs="Arial"/>
          <w:sz w:val="24"/>
          <w:szCs w:val="24"/>
        </w:rPr>
      </w:pPr>
      <w:r w:rsidRPr="00431D53">
        <w:rPr>
          <w:rFonts w:ascii="Arial" w:hAnsi="Arial" w:cs="Arial"/>
          <w:sz w:val="24"/>
          <w:szCs w:val="24"/>
        </w:rPr>
        <w:t>1.2. El artículo 8 de la Resolución 001 de 10 de enero de 2006</w:t>
      </w:r>
      <w:r w:rsidRPr="00431D53">
        <w:rPr>
          <w:rStyle w:val="FootnoteReference"/>
          <w:rFonts w:ascii="Arial" w:hAnsi="Arial" w:cs="Arial"/>
          <w:sz w:val="24"/>
          <w:szCs w:val="24"/>
        </w:rPr>
        <w:footnoteReference w:id="6"/>
      </w:r>
      <w:r w:rsidRPr="00431D53">
        <w:rPr>
          <w:rFonts w:ascii="Arial" w:hAnsi="Arial" w:cs="Arial"/>
          <w:sz w:val="24"/>
          <w:szCs w:val="24"/>
        </w:rPr>
        <w:t xml:space="preserve">, </w:t>
      </w:r>
      <w:r w:rsidRPr="00431D53">
        <w:rPr>
          <w:rFonts w:ascii="Arial" w:hAnsi="Arial" w:cs="Arial"/>
          <w:i/>
          <w:sz w:val="24"/>
          <w:szCs w:val="24"/>
        </w:rPr>
        <w:t>“[…] Por la cual se aclara la metodología de cálculo de la participación en el mercado de las empresas de energía eléctrica y se establecen otras disposiciones […]”</w:t>
      </w:r>
      <w:r w:rsidRPr="00431D53">
        <w:rPr>
          <w:rFonts w:ascii="Arial" w:hAnsi="Arial" w:cs="Arial"/>
          <w:sz w:val="24"/>
          <w:szCs w:val="24"/>
        </w:rPr>
        <w:t>, expedida por el delegado del Presidente y el Director Ejecutivo de la Comisión de Regulación de Energía y Gas.</w:t>
      </w:r>
    </w:p>
    <w:p w14:paraId="73D796FE" w14:textId="77777777" w:rsidR="005B62E6" w:rsidRPr="00431D53" w:rsidRDefault="005B62E6" w:rsidP="005B62E6">
      <w:pPr>
        <w:tabs>
          <w:tab w:val="left" w:pos="2813"/>
          <w:tab w:val="left" w:pos="5080"/>
        </w:tabs>
        <w:suppressAutoHyphens/>
        <w:spacing w:line="360" w:lineRule="auto"/>
        <w:ind w:left="567"/>
        <w:jc w:val="both"/>
        <w:rPr>
          <w:rFonts w:ascii="Arial" w:hAnsi="Arial" w:cs="Arial"/>
          <w:sz w:val="24"/>
          <w:szCs w:val="24"/>
        </w:rPr>
      </w:pPr>
    </w:p>
    <w:p w14:paraId="30C87FB7" w14:textId="77777777" w:rsidR="005B62E6" w:rsidRPr="00431D53" w:rsidRDefault="005B62E6" w:rsidP="005B62E6">
      <w:pPr>
        <w:tabs>
          <w:tab w:val="left" w:pos="2813"/>
          <w:tab w:val="left" w:pos="5080"/>
        </w:tabs>
        <w:suppressAutoHyphens/>
        <w:spacing w:line="360" w:lineRule="auto"/>
        <w:ind w:left="567"/>
        <w:jc w:val="both"/>
        <w:rPr>
          <w:rFonts w:ascii="Arial" w:hAnsi="Arial" w:cs="Arial"/>
          <w:sz w:val="24"/>
          <w:szCs w:val="24"/>
        </w:rPr>
      </w:pPr>
      <w:r w:rsidRPr="00431D53">
        <w:rPr>
          <w:rFonts w:ascii="Arial" w:hAnsi="Arial" w:cs="Arial"/>
          <w:sz w:val="24"/>
          <w:szCs w:val="24"/>
        </w:rPr>
        <w:t>1.3. El artículo 1 de la Resolución 008 de 21 de febrero de 2008</w:t>
      </w:r>
      <w:r w:rsidRPr="00431D53">
        <w:rPr>
          <w:rStyle w:val="FootnoteReference"/>
          <w:rFonts w:ascii="Arial" w:hAnsi="Arial" w:cs="Arial"/>
          <w:sz w:val="24"/>
          <w:szCs w:val="24"/>
        </w:rPr>
        <w:footnoteReference w:id="7"/>
      </w:r>
      <w:r w:rsidRPr="00431D53">
        <w:rPr>
          <w:rFonts w:ascii="Arial" w:hAnsi="Arial" w:cs="Arial"/>
          <w:sz w:val="24"/>
          <w:szCs w:val="24"/>
        </w:rPr>
        <w:t xml:space="preserve">, </w:t>
      </w:r>
      <w:r w:rsidRPr="00431D53">
        <w:rPr>
          <w:rFonts w:ascii="Arial" w:hAnsi="Arial" w:cs="Arial"/>
          <w:i/>
          <w:sz w:val="24"/>
          <w:szCs w:val="24"/>
        </w:rPr>
        <w:t>“[…] Por la cual se corrige un error en la Resolución CREG 001 de 2006 […]”</w:t>
      </w:r>
      <w:r w:rsidRPr="00431D53">
        <w:rPr>
          <w:rFonts w:ascii="Arial" w:hAnsi="Arial" w:cs="Arial"/>
          <w:sz w:val="24"/>
          <w:szCs w:val="24"/>
        </w:rPr>
        <w:t>, expedida por el delegado del Presidente y el Director Ejecutivo de la Comisión de Regulación de Energía y Gas.</w:t>
      </w:r>
    </w:p>
    <w:p w14:paraId="16D8699F" w14:textId="77777777" w:rsidR="005B62E6" w:rsidRPr="00431D53" w:rsidRDefault="005B62E6" w:rsidP="005B62E6">
      <w:pPr>
        <w:tabs>
          <w:tab w:val="left" w:pos="2813"/>
          <w:tab w:val="left" w:pos="5080"/>
        </w:tabs>
        <w:suppressAutoHyphens/>
        <w:spacing w:line="360" w:lineRule="auto"/>
        <w:jc w:val="both"/>
        <w:rPr>
          <w:rFonts w:ascii="Arial" w:hAnsi="Arial" w:cs="Arial"/>
          <w:sz w:val="24"/>
          <w:szCs w:val="24"/>
        </w:rPr>
      </w:pPr>
    </w:p>
    <w:p w14:paraId="0758BFF3" w14:textId="77777777" w:rsidR="005B62E6" w:rsidRPr="00431D53" w:rsidRDefault="005B62E6" w:rsidP="005B62E6">
      <w:pPr>
        <w:tabs>
          <w:tab w:val="left" w:pos="2813"/>
          <w:tab w:val="left" w:pos="5080"/>
        </w:tabs>
        <w:suppressAutoHyphens/>
        <w:spacing w:line="360" w:lineRule="auto"/>
        <w:jc w:val="both"/>
        <w:rPr>
          <w:rFonts w:ascii="Arial" w:hAnsi="Arial" w:cs="Arial"/>
          <w:sz w:val="24"/>
          <w:szCs w:val="24"/>
        </w:rPr>
      </w:pPr>
      <w:r w:rsidRPr="00431D53">
        <w:rPr>
          <w:rFonts w:ascii="Arial" w:hAnsi="Arial" w:cs="Arial"/>
          <w:sz w:val="24"/>
          <w:szCs w:val="24"/>
        </w:rPr>
        <w:t xml:space="preserve">2. A título de restablecimiento del derecho, solicitó que: </w:t>
      </w:r>
      <w:r w:rsidRPr="00431D53">
        <w:rPr>
          <w:rFonts w:ascii="Arial" w:hAnsi="Arial" w:cs="Arial"/>
          <w:i/>
          <w:sz w:val="24"/>
          <w:szCs w:val="24"/>
        </w:rPr>
        <w:t>“[…] Con la declaratoria de nulidad que solicita ISA, entendemos que se restablecería un derecho. […]</w:t>
      </w:r>
      <w:r w:rsidRPr="00431D53">
        <w:rPr>
          <w:rStyle w:val="FootnoteReference"/>
          <w:rFonts w:ascii="Arial" w:hAnsi="Arial" w:cs="Arial"/>
          <w:sz w:val="24"/>
          <w:szCs w:val="24"/>
        </w:rPr>
        <w:footnoteReference w:id="8"/>
      </w:r>
      <w:r w:rsidRPr="00431D53">
        <w:rPr>
          <w:rFonts w:ascii="Arial" w:hAnsi="Arial" w:cs="Arial"/>
          <w:sz w:val="24"/>
          <w:szCs w:val="24"/>
        </w:rPr>
        <w:t>.</w:t>
      </w:r>
    </w:p>
    <w:p w14:paraId="72C86FD1" w14:textId="77777777" w:rsidR="005B62E6" w:rsidRPr="00431D53" w:rsidRDefault="005B62E6" w:rsidP="005B62E6">
      <w:pPr>
        <w:tabs>
          <w:tab w:val="left" w:pos="-720"/>
        </w:tabs>
        <w:suppressAutoHyphens/>
        <w:spacing w:line="360" w:lineRule="auto"/>
        <w:jc w:val="both"/>
        <w:rPr>
          <w:rFonts w:ascii="Arial" w:hAnsi="Arial" w:cs="Arial"/>
          <w:spacing w:val="-3"/>
          <w:sz w:val="24"/>
          <w:szCs w:val="24"/>
          <w:shd w:val="clear" w:color="auto" w:fill="FFFFFF"/>
        </w:rPr>
      </w:pPr>
    </w:p>
    <w:p w14:paraId="0E769B04" w14:textId="77777777" w:rsidR="005B62E6" w:rsidRPr="00431D53" w:rsidRDefault="005B62E6" w:rsidP="005B62E6">
      <w:pPr>
        <w:tabs>
          <w:tab w:val="left" w:pos="-720"/>
        </w:tabs>
        <w:suppressAutoHyphens/>
        <w:spacing w:line="360" w:lineRule="auto"/>
        <w:jc w:val="both"/>
        <w:rPr>
          <w:rFonts w:ascii="Arial" w:hAnsi="Arial" w:cs="Arial"/>
          <w:sz w:val="24"/>
          <w:szCs w:val="24"/>
        </w:rPr>
      </w:pPr>
      <w:r w:rsidRPr="00431D53">
        <w:rPr>
          <w:rFonts w:ascii="Arial" w:hAnsi="Arial" w:cs="Arial"/>
          <w:spacing w:val="-3"/>
          <w:sz w:val="24"/>
          <w:szCs w:val="24"/>
          <w:shd w:val="clear" w:color="auto" w:fill="FFFFFF"/>
        </w:rPr>
        <w:t>3. El Despacho sustanciador, mediante la providencia proferida el 29 de agosto de 2011</w:t>
      </w:r>
      <w:r w:rsidRPr="00431D53">
        <w:rPr>
          <w:rStyle w:val="FootnoteReference"/>
          <w:rFonts w:ascii="Arial" w:hAnsi="Arial" w:cs="Arial"/>
          <w:spacing w:val="-3"/>
          <w:sz w:val="24"/>
          <w:szCs w:val="24"/>
          <w:shd w:val="clear" w:color="auto" w:fill="FFFFFF"/>
        </w:rPr>
        <w:footnoteReference w:id="9"/>
      </w:r>
      <w:r w:rsidRPr="00431D53">
        <w:rPr>
          <w:rFonts w:ascii="Arial" w:hAnsi="Arial" w:cs="Arial"/>
          <w:spacing w:val="-3"/>
          <w:sz w:val="24"/>
          <w:szCs w:val="24"/>
          <w:shd w:val="clear" w:color="auto" w:fill="FFFFFF"/>
        </w:rPr>
        <w:t xml:space="preserve">, admitió la demanda </w:t>
      </w:r>
      <w:r w:rsidRPr="00431D53">
        <w:rPr>
          <w:rFonts w:ascii="Arial" w:hAnsi="Arial" w:cs="Arial"/>
          <w:sz w:val="24"/>
          <w:szCs w:val="24"/>
        </w:rPr>
        <w:t>y reconoció al abogado Emilio José Archila Peñalosa, como ap</w:t>
      </w:r>
      <w:r w:rsidR="00EF53B5" w:rsidRPr="00431D53">
        <w:rPr>
          <w:rFonts w:ascii="Arial" w:hAnsi="Arial" w:cs="Arial"/>
          <w:sz w:val="24"/>
          <w:szCs w:val="24"/>
        </w:rPr>
        <w:t>oderado de la parte demandante.</w:t>
      </w:r>
    </w:p>
    <w:p w14:paraId="7725A61E" w14:textId="77777777" w:rsidR="005B62E6" w:rsidRPr="00431D53" w:rsidRDefault="005B62E6" w:rsidP="005B62E6">
      <w:pPr>
        <w:tabs>
          <w:tab w:val="left" w:pos="-720"/>
        </w:tabs>
        <w:suppressAutoHyphens/>
        <w:spacing w:line="360" w:lineRule="auto"/>
        <w:jc w:val="both"/>
        <w:rPr>
          <w:rFonts w:ascii="Arial" w:hAnsi="Arial" w:cs="Arial"/>
          <w:b/>
          <w:spacing w:val="-3"/>
          <w:sz w:val="24"/>
          <w:szCs w:val="24"/>
          <w:shd w:val="clear" w:color="auto" w:fill="FFFFFF"/>
        </w:rPr>
      </w:pPr>
    </w:p>
    <w:p w14:paraId="7A62B98B" w14:textId="77777777" w:rsidR="005B62E6" w:rsidRPr="00431D53" w:rsidRDefault="005B62E6" w:rsidP="005B62E6">
      <w:pPr>
        <w:tabs>
          <w:tab w:val="left" w:pos="-720"/>
        </w:tabs>
        <w:suppressAutoHyphens/>
        <w:spacing w:line="360" w:lineRule="auto"/>
        <w:jc w:val="both"/>
        <w:rPr>
          <w:rFonts w:ascii="Arial" w:hAnsi="Arial" w:cs="Arial"/>
          <w:b/>
          <w:sz w:val="24"/>
          <w:szCs w:val="24"/>
        </w:rPr>
      </w:pPr>
      <w:r w:rsidRPr="00431D53">
        <w:rPr>
          <w:rFonts w:ascii="Arial" w:hAnsi="Arial" w:cs="Arial"/>
          <w:b/>
          <w:spacing w:val="-3"/>
          <w:sz w:val="24"/>
          <w:szCs w:val="24"/>
          <w:shd w:val="clear" w:color="auto" w:fill="FFFFFF"/>
        </w:rPr>
        <w:t>La solicitud de impedimento del Consejero de Estado, doctor Oswaldo Giraldo López</w:t>
      </w:r>
    </w:p>
    <w:p w14:paraId="3874F206" w14:textId="77777777" w:rsidR="005B62E6" w:rsidRPr="00431D53" w:rsidRDefault="005B62E6" w:rsidP="005B62E6">
      <w:pPr>
        <w:tabs>
          <w:tab w:val="left" w:pos="-720"/>
          <w:tab w:val="left" w:pos="3525"/>
        </w:tabs>
        <w:suppressAutoHyphens/>
        <w:spacing w:line="360" w:lineRule="auto"/>
        <w:jc w:val="both"/>
        <w:rPr>
          <w:rFonts w:ascii="Arial" w:hAnsi="Arial" w:cs="Arial"/>
          <w:b/>
          <w:spacing w:val="-3"/>
          <w:sz w:val="24"/>
          <w:szCs w:val="24"/>
          <w:shd w:val="clear" w:color="auto" w:fill="FFFFFF"/>
        </w:rPr>
      </w:pPr>
    </w:p>
    <w:p w14:paraId="797592A3" w14:textId="77777777" w:rsidR="005B62E6" w:rsidRPr="00431D53" w:rsidRDefault="005B62E6" w:rsidP="005B62E6">
      <w:pPr>
        <w:tabs>
          <w:tab w:val="left" w:pos="-720"/>
        </w:tabs>
        <w:suppressAutoHyphens/>
        <w:spacing w:line="360" w:lineRule="auto"/>
        <w:jc w:val="both"/>
        <w:rPr>
          <w:rFonts w:ascii="Arial" w:hAnsi="Arial" w:cs="Arial"/>
          <w:spacing w:val="-3"/>
          <w:sz w:val="24"/>
          <w:szCs w:val="24"/>
          <w:shd w:val="clear" w:color="auto" w:fill="FFFFFF"/>
        </w:rPr>
      </w:pPr>
      <w:r w:rsidRPr="00431D53">
        <w:rPr>
          <w:rFonts w:ascii="Arial" w:hAnsi="Arial" w:cs="Arial"/>
          <w:spacing w:val="-3"/>
          <w:sz w:val="24"/>
          <w:szCs w:val="24"/>
          <w:shd w:val="clear" w:color="auto" w:fill="FFFFFF"/>
        </w:rPr>
        <w:t>4. El Consejero de Estado, doctor Oswaldo Giraldo López, mediante escrito presentado el 17 de julio de 2018, manifestó su impedimento en los siguientes términos</w:t>
      </w:r>
      <w:r w:rsidRPr="00431D53">
        <w:rPr>
          <w:rStyle w:val="FootnoteReference"/>
          <w:rFonts w:ascii="Arial" w:hAnsi="Arial" w:cs="Arial"/>
          <w:spacing w:val="-3"/>
          <w:sz w:val="24"/>
          <w:szCs w:val="24"/>
          <w:shd w:val="clear" w:color="auto" w:fill="FFFFFF"/>
        </w:rPr>
        <w:footnoteReference w:id="10"/>
      </w:r>
      <w:r w:rsidRPr="00431D53">
        <w:rPr>
          <w:rFonts w:ascii="Arial" w:hAnsi="Arial" w:cs="Arial"/>
          <w:spacing w:val="-3"/>
          <w:sz w:val="24"/>
          <w:szCs w:val="24"/>
          <w:shd w:val="clear" w:color="auto" w:fill="FFFFFF"/>
        </w:rPr>
        <w:t>:</w:t>
      </w:r>
    </w:p>
    <w:p w14:paraId="2E877BD7" w14:textId="77777777" w:rsidR="005B62E6" w:rsidRPr="00431D53" w:rsidRDefault="005B62E6" w:rsidP="005B62E6">
      <w:pPr>
        <w:tabs>
          <w:tab w:val="left" w:pos="-720"/>
        </w:tabs>
        <w:suppressAutoHyphens/>
        <w:spacing w:line="360" w:lineRule="auto"/>
        <w:jc w:val="both"/>
        <w:rPr>
          <w:rFonts w:ascii="Arial" w:hAnsi="Arial" w:cs="Arial"/>
          <w:spacing w:val="-3"/>
          <w:sz w:val="24"/>
          <w:szCs w:val="24"/>
          <w:shd w:val="clear" w:color="auto" w:fill="FFFFFF"/>
        </w:rPr>
      </w:pPr>
    </w:p>
    <w:p w14:paraId="1EA6AE11" w14:textId="77777777" w:rsidR="005B62E6" w:rsidRPr="00431D53" w:rsidRDefault="005B62E6" w:rsidP="005B62E6">
      <w:pPr>
        <w:tabs>
          <w:tab w:val="left" w:pos="-720"/>
        </w:tabs>
        <w:suppressAutoHyphens/>
        <w:spacing w:after="120"/>
        <w:ind w:left="567"/>
        <w:jc w:val="both"/>
        <w:rPr>
          <w:rFonts w:ascii="Arial" w:hAnsi="Arial" w:cs="Arial"/>
          <w:i/>
          <w:spacing w:val="-3"/>
          <w:sz w:val="24"/>
          <w:szCs w:val="24"/>
          <w:shd w:val="clear" w:color="auto" w:fill="FFFFFF"/>
        </w:rPr>
      </w:pPr>
      <w:r w:rsidRPr="00431D53">
        <w:rPr>
          <w:rFonts w:ascii="Arial" w:hAnsi="Arial" w:cs="Arial"/>
          <w:i/>
          <w:spacing w:val="-3"/>
          <w:sz w:val="24"/>
          <w:szCs w:val="24"/>
          <w:shd w:val="clear" w:color="auto" w:fill="FFFFFF"/>
        </w:rPr>
        <w:t>“[…] me permito comunicarle por medio del presente escrito que podría estar incurso en la causal de impedimento prevista en el numeral 9º del artículo 141 del Código General del Proceso, cuyo texto es del siguiente tenor:</w:t>
      </w:r>
    </w:p>
    <w:p w14:paraId="7B70762C" w14:textId="77777777" w:rsidR="005B62E6" w:rsidRPr="00431D53" w:rsidRDefault="005B62E6" w:rsidP="005B62E6">
      <w:pPr>
        <w:tabs>
          <w:tab w:val="left" w:pos="-720"/>
        </w:tabs>
        <w:suppressAutoHyphens/>
        <w:spacing w:after="120"/>
        <w:ind w:left="567"/>
        <w:jc w:val="both"/>
        <w:rPr>
          <w:rFonts w:ascii="Arial" w:hAnsi="Arial" w:cs="Arial"/>
          <w:i/>
          <w:spacing w:val="-3"/>
          <w:sz w:val="24"/>
          <w:szCs w:val="24"/>
          <w:shd w:val="clear" w:color="auto" w:fill="FFFFFF"/>
        </w:rPr>
      </w:pPr>
    </w:p>
    <w:p w14:paraId="24727870" w14:textId="77777777" w:rsidR="005B62E6" w:rsidRPr="00431D53" w:rsidRDefault="005B62E6" w:rsidP="005B62E6">
      <w:pPr>
        <w:tabs>
          <w:tab w:val="left" w:pos="-720"/>
        </w:tabs>
        <w:suppressAutoHyphens/>
        <w:spacing w:after="120"/>
        <w:ind w:left="567"/>
        <w:jc w:val="both"/>
        <w:rPr>
          <w:rFonts w:ascii="Arial" w:hAnsi="Arial" w:cs="Arial"/>
          <w:i/>
          <w:spacing w:val="-3"/>
          <w:sz w:val="24"/>
          <w:szCs w:val="24"/>
          <w:shd w:val="clear" w:color="auto" w:fill="FFFFFF"/>
        </w:rPr>
      </w:pPr>
      <w:r w:rsidRPr="00431D53">
        <w:rPr>
          <w:rFonts w:ascii="Arial" w:hAnsi="Arial" w:cs="Arial"/>
          <w:i/>
          <w:spacing w:val="-3"/>
          <w:sz w:val="24"/>
          <w:szCs w:val="24"/>
          <w:shd w:val="clear" w:color="auto" w:fill="FFFFFF"/>
        </w:rPr>
        <w:t>“</w:t>
      </w:r>
      <w:r w:rsidRPr="00431D53">
        <w:rPr>
          <w:rFonts w:ascii="Arial" w:hAnsi="Arial" w:cs="Arial"/>
          <w:b/>
          <w:i/>
          <w:spacing w:val="-3"/>
          <w:sz w:val="24"/>
          <w:szCs w:val="24"/>
          <w:shd w:val="clear" w:color="auto" w:fill="FFFFFF"/>
        </w:rPr>
        <w:t>Artículo 141. Causales de recusación</w:t>
      </w:r>
      <w:r w:rsidRPr="00431D53">
        <w:rPr>
          <w:rFonts w:ascii="Arial" w:hAnsi="Arial" w:cs="Arial"/>
          <w:i/>
          <w:spacing w:val="-3"/>
          <w:sz w:val="24"/>
          <w:szCs w:val="24"/>
          <w:shd w:val="clear" w:color="auto" w:fill="FFFFFF"/>
        </w:rPr>
        <w:t>. Son causales de recusación las siguientes:</w:t>
      </w:r>
    </w:p>
    <w:p w14:paraId="56831D4E" w14:textId="77777777" w:rsidR="005B62E6" w:rsidRPr="00431D53" w:rsidRDefault="005B62E6" w:rsidP="005B62E6">
      <w:pPr>
        <w:tabs>
          <w:tab w:val="left" w:pos="-720"/>
        </w:tabs>
        <w:suppressAutoHyphens/>
        <w:spacing w:after="120"/>
        <w:ind w:left="567"/>
        <w:jc w:val="both"/>
        <w:rPr>
          <w:rFonts w:ascii="Arial" w:hAnsi="Arial" w:cs="Arial"/>
          <w:i/>
          <w:spacing w:val="-3"/>
          <w:sz w:val="24"/>
          <w:szCs w:val="24"/>
          <w:shd w:val="clear" w:color="auto" w:fill="FFFFFF"/>
        </w:rPr>
      </w:pPr>
      <w:r w:rsidRPr="00431D53">
        <w:rPr>
          <w:rFonts w:ascii="Arial" w:hAnsi="Arial" w:cs="Arial"/>
          <w:i/>
          <w:spacing w:val="-3"/>
          <w:sz w:val="24"/>
          <w:szCs w:val="24"/>
          <w:shd w:val="clear" w:color="auto" w:fill="FFFFFF"/>
        </w:rPr>
        <w:t>[…]</w:t>
      </w:r>
    </w:p>
    <w:p w14:paraId="7F081126" w14:textId="77777777" w:rsidR="005B62E6" w:rsidRPr="00431D53" w:rsidRDefault="005B62E6" w:rsidP="005B62E6">
      <w:pPr>
        <w:tabs>
          <w:tab w:val="left" w:pos="-720"/>
        </w:tabs>
        <w:suppressAutoHyphens/>
        <w:spacing w:after="120"/>
        <w:ind w:left="567"/>
        <w:jc w:val="both"/>
        <w:rPr>
          <w:rFonts w:ascii="Arial" w:hAnsi="Arial" w:cs="Arial"/>
          <w:i/>
          <w:spacing w:val="-3"/>
          <w:sz w:val="24"/>
          <w:szCs w:val="24"/>
          <w:shd w:val="clear" w:color="auto" w:fill="FFFFFF"/>
        </w:rPr>
      </w:pPr>
      <w:r w:rsidRPr="00431D53">
        <w:rPr>
          <w:rFonts w:ascii="Arial" w:hAnsi="Arial" w:cs="Arial"/>
          <w:i/>
          <w:spacing w:val="-3"/>
          <w:sz w:val="24"/>
          <w:szCs w:val="24"/>
          <w:shd w:val="clear" w:color="auto" w:fill="FFFFFF"/>
        </w:rPr>
        <w:lastRenderedPageBreak/>
        <w:t xml:space="preserve">9. Existir enemistad grave o </w:t>
      </w:r>
      <w:r w:rsidRPr="00431D53">
        <w:rPr>
          <w:rFonts w:ascii="Arial" w:hAnsi="Arial" w:cs="Arial"/>
          <w:spacing w:val="-3"/>
          <w:sz w:val="24"/>
          <w:szCs w:val="24"/>
          <w:u w:val="single"/>
          <w:shd w:val="clear" w:color="auto" w:fill="FFFFFF"/>
        </w:rPr>
        <w:t>amistad íntima</w:t>
      </w:r>
      <w:r w:rsidRPr="00431D53">
        <w:rPr>
          <w:rFonts w:ascii="Arial" w:hAnsi="Arial" w:cs="Arial"/>
          <w:i/>
          <w:spacing w:val="-3"/>
          <w:sz w:val="24"/>
          <w:szCs w:val="24"/>
          <w:shd w:val="clear" w:color="auto" w:fill="FFFFFF"/>
        </w:rPr>
        <w:t xml:space="preserve"> entre el juez y alguna de las partes,</w:t>
      </w:r>
      <w:r w:rsidR="00EF53B5" w:rsidRPr="00431D53">
        <w:rPr>
          <w:rFonts w:ascii="Arial" w:hAnsi="Arial" w:cs="Arial"/>
          <w:i/>
          <w:spacing w:val="-3"/>
          <w:sz w:val="24"/>
          <w:szCs w:val="24"/>
          <w:shd w:val="clear" w:color="auto" w:fill="FFFFFF"/>
        </w:rPr>
        <w:t xml:space="preserve"> su representante o apoderado.”</w:t>
      </w:r>
    </w:p>
    <w:p w14:paraId="7386DA82" w14:textId="77777777" w:rsidR="005B62E6" w:rsidRPr="00431D53" w:rsidRDefault="005B62E6" w:rsidP="005B62E6">
      <w:pPr>
        <w:tabs>
          <w:tab w:val="left" w:pos="-720"/>
        </w:tabs>
        <w:suppressAutoHyphens/>
        <w:spacing w:after="120"/>
        <w:ind w:left="567"/>
        <w:jc w:val="both"/>
        <w:rPr>
          <w:rFonts w:ascii="Arial" w:hAnsi="Arial" w:cs="Arial"/>
          <w:i/>
          <w:spacing w:val="-3"/>
          <w:sz w:val="24"/>
          <w:szCs w:val="24"/>
          <w:shd w:val="clear" w:color="auto" w:fill="FFFFFF"/>
        </w:rPr>
      </w:pPr>
    </w:p>
    <w:p w14:paraId="1779A93C" w14:textId="77777777" w:rsidR="005B62E6" w:rsidRPr="00431D53" w:rsidRDefault="005B62E6" w:rsidP="005B62E6">
      <w:pPr>
        <w:tabs>
          <w:tab w:val="left" w:pos="-720"/>
        </w:tabs>
        <w:suppressAutoHyphens/>
        <w:spacing w:after="120"/>
        <w:ind w:left="567"/>
        <w:jc w:val="both"/>
        <w:rPr>
          <w:rFonts w:ascii="Arial" w:hAnsi="Arial" w:cs="Arial"/>
          <w:i/>
          <w:spacing w:val="-3"/>
          <w:sz w:val="24"/>
          <w:szCs w:val="24"/>
          <w:shd w:val="clear" w:color="auto" w:fill="FFFFFF"/>
        </w:rPr>
      </w:pPr>
      <w:r w:rsidRPr="00431D53">
        <w:rPr>
          <w:rFonts w:ascii="Arial" w:hAnsi="Arial" w:cs="Arial"/>
          <w:i/>
          <w:spacing w:val="-3"/>
          <w:sz w:val="24"/>
          <w:szCs w:val="24"/>
          <w:shd w:val="clear" w:color="auto" w:fill="FFFFFF"/>
        </w:rPr>
        <w:t xml:space="preserve">Lo anterior en consideración a que tengo una amistad íntima con el abogado Emilio José Archila Peñalosa, quien es el apoderado de la sociedad Interconexión Eléctrica S.A. E.S.P., parte demandante en el proceso. Por consiguiente, manifiesto mi impedimento para participar en el trámite del proceso y en la decisión que en éste se adopte. […].” </w:t>
      </w:r>
      <w:r w:rsidR="00EF53B5" w:rsidRPr="00431D53">
        <w:rPr>
          <w:rFonts w:ascii="Arial" w:hAnsi="Arial" w:cs="Arial"/>
          <w:spacing w:val="-3"/>
          <w:sz w:val="24"/>
          <w:szCs w:val="24"/>
          <w:shd w:val="clear" w:color="auto" w:fill="FFFFFF"/>
        </w:rPr>
        <w:t>(Subraya del texto original).</w:t>
      </w:r>
    </w:p>
    <w:p w14:paraId="315E2DF4" w14:textId="77777777" w:rsidR="005B62E6" w:rsidRPr="00431D53" w:rsidRDefault="005B62E6" w:rsidP="005B62E6">
      <w:pPr>
        <w:tabs>
          <w:tab w:val="left" w:pos="-720"/>
        </w:tabs>
        <w:suppressAutoHyphens/>
        <w:spacing w:line="360" w:lineRule="auto"/>
        <w:ind w:right="760"/>
        <w:jc w:val="both"/>
        <w:rPr>
          <w:rFonts w:ascii="Arial" w:hAnsi="Arial" w:cs="Arial"/>
          <w:spacing w:val="-3"/>
          <w:sz w:val="24"/>
          <w:szCs w:val="24"/>
          <w:shd w:val="clear" w:color="auto" w:fill="FFFFFF"/>
        </w:rPr>
      </w:pPr>
    </w:p>
    <w:p w14:paraId="0515A43D" w14:textId="77777777" w:rsidR="005B62E6" w:rsidRPr="00431D53" w:rsidRDefault="005B62E6" w:rsidP="005B62E6">
      <w:pPr>
        <w:tabs>
          <w:tab w:val="left" w:pos="-720"/>
        </w:tabs>
        <w:suppressAutoHyphens/>
        <w:spacing w:line="360" w:lineRule="auto"/>
        <w:jc w:val="center"/>
        <w:rPr>
          <w:rFonts w:ascii="Arial" w:hAnsi="Arial" w:cs="Arial"/>
          <w:b/>
          <w:spacing w:val="-3"/>
          <w:sz w:val="24"/>
          <w:szCs w:val="24"/>
        </w:rPr>
      </w:pPr>
      <w:r w:rsidRPr="00431D53">
        <w:rPr>
          <w:rFonts w:ascii="Arial" w:hAnsi="Arial" w:cs="Arial"/>
          <w:b/>
          <w:spacing w:val="-3"/>
          <w:sz w:val="24"/>
          <w:szCs w:val="24"/>
        </w:rPr>
        <w:t>II. CONSIDERACIONES DE LA SALA</w:t>
      </w:r>
    </w:p>
    <w:p w14:paraId="2A4A6D49" w14:textId="77777777" w:rsidR="005B62E6" w:rsidRPr="00431D53" w:rsidRDefault="005B62E6" w:rsidP="00EF53B5">
      <w:pPr>
        <w:tabs>
          <w:tab w:val="left" w:pos="-720"/>
        </w:tabs>
        <w:suppressAutoHyphens/>
        <w:spacing w:line="360" w:lineRule="auto"/>
        <w:rPr>
          <w:rFonts w:ascii="Arial" w:hAnsi="Arial" w:cs="Arial"/>
          <w:b/>
          <w:spacing w:val="-3"/>
          <w:sz w:val="24"/>
          <w:szCs w:val="24"/>
        </w:rPr>
      </w:pPr>
    </w:p>
    <w:p w14:paraId="044F5B0C" w14:textId="77777777" w:rsidR="005B62E6" w:rsidRPr="00431D53" w:rsidRDefault="00EF53B5" w:rsidP="005B62E6">
      <w:pPr>
        <w:spacing w:line="360" w:lineRule="auto"/>
        <w:rPr>
          <w:rFonts w:ascii="Arial" w:hAnsi="Arial" w:cs="Arial"/>
          <w:b/>
          <w:sz w:val="24"/>
          <w:szCs w:val="24"/>
        </w:rPr>
      </w:pPr>
      <w:r w:rsidRPr="00431D53">
        <w:rPr>
          <w:rFonts w:ascii="Arial" w:hAnsi="Arial" w:cs="Arial"/>
          <w:b/>
          <w:sz w:val="24"/>
          <w:szCs w:val="24"/>
        </w:rPr>
        <w:t>Competencia</w:t>
      </w:r>
    </w:p>
    <w:p w14:paraId="73648072" w14:textId="77777777" w:rsidR="00BC528F" w:rsidRPr="00431D53" w:rsidRDefault="00BC528F" w:rsidP="005B62E6">
      <w:pPr>
        <w:spacing w:line="360" w:lineRule="auto"/>
        <w:rPr>
          <w:rFonts w:ascii="Arial" w:hAnsi="Arial" w:cs="Arial"/>
          <w:b/>
          <w:sz w:val="24"/>
          <w:szCs w:val="24"/>
        </w:rPr>
      </w:pPr>
    </w:p>
    <w:p w14:paraId="71A0923E" w14:textId="77777777" w:rsidR="005B62E6" w:rsidRPr="00431D53" w:rsidRDefault="005B62E6" w:rsidP="005B62E6">
      <w:pPr>
        <w:spacing w:line="360" w:lineRule="auto"/>
        <w:jc w:val="both"/>
        <w:rPr>
          <w:rFonts w:ascii="Arial" w:hAnsi="Arial" w:cs="Arial"/>
          <w:sz w:val="24"/>
          <w:szCs w:val="24"/>
        </w:rPr>
      </w:pPr>
      <w:r w:rsidRPr="00431D53">
        <w:rPr>
          <w:rFonts w:ascii="Arial" w:hAnsi="Arial" w:cs="Arial"/>
          <w:sz w:val="24"/>
          <w:szCs w:val="24"/>
        </w:rPr>
        <w:t>5. Vistos los artículos 160</w:t>
      </w:r>
      <w:r w:rsidRPr="00431D53">
        <w:rPr>
          <w:rStyle w:val="FootnoteReference"/>
          <w:rFonts w:ascii="Arial" w:hAnsi="Arial" w:cs="Arial"/>
          <w:sz w:val="24"/>
          <w:szCs w:val="24"/>
        </w:rPr>
        <w:footnoteReference w:id="11"/>
      </w:r>
      <w:r w:rsidRPr="00431D53">
        <w:rPr>
          <w:rFonts w:ascii="Arial" w:hAnsi="Arial" w:cs="Arial"/>
          <w:sz w:val="24"/>
          <w:szCs w:val="24"/>
        </w:rPr>
        <w:t xml:space="preserve"> y 160A</w:t>
      </w:r>
      <w:r w:rsidRPr="00431D53">
        <w:rPr>
          <w:rStyle w:val="FootnoteReference"/>
          <w:rFonts w:ascii="Arial" w:hAnsi="Arial" w:cs="Arial"/>
          <w:sz w:val="24"/>
          <w:szCs w:val="24"/>
        </w:rPr>
        <w:footnoteReference w:id="12"/>
      </w:r>
      <w:r w:rsidRPr="00431D53">
        <w:rPr>
          <w:rFonts w:ascii="Arial" w:hAnsi="Arial" w:cs="Arial"/>
          <w:sz w:val="24"/>
          <w:szCs w:val="24"/>
        </w:rPr>
        <w:t xml:space="preserve"> del Decreto Ley 01 de 2 de enero de 1984</w:t>
      </w:r>
      <w:r w:rsidRPr="00431D53">
        <w:rPr>
          <w:rStyle w:val="FootnoteReference"/>
          <w:rFonts w:ascii="Arial" w:hAnsi="Arial" w:cs="Arial"/>
          <w:sz w:val="24"/>
          <w:szCs w:val="24"/>
        </w:rPr>
        <w:footnoteReference w:id="13"/>
      </w:r>
      <w:r w:rsidRPr="00431D53">
        <w:rPr>
          <w:rFonts w:ascii="Arial" w:hAnsi="Arial" w:cs="Arial"/>
          <w:sz w:val="24"/>
          <w:szCs w:val="24"/>
        </w:rPr>
        <w:t>, sobre las causales y procedimiento para la recusación e impedimento de los consejeros de Estado, magist</w:t>
      </w:r>
      <w:r w:rsidR="00BC528F" w:rsidRPr="00431D53">
        <w:rPr>
          <w:rFonts w:ascii="Arial" w:hAnsi="Arial" w:cs="Arial"/>
          <w:sz w:val="24"/>
          <w:szCs w:val="24"/>
        </w:rPr>
        <w:t>rados y jueces de la República.</w:t>
      </w:r>
    </w:p>
    <w:p w14:paraId="3817460A" w14:textId="77777777" w:rsidR="005B62E6" w:rsidRPr="00431D53" w:rsidRDefault="005B62E6" w:rsidP="005B62E6">
      <w:pPr>
        <w:spacing w:line="360" w:lineRule="auto"/>
        <w:jc w:val="both"/>
        <w:rPr>
          <w:rFonts w:ascii="Arial" w:hAnsi="Arial" w:cs="Arial"/>
          <w:sz w:val="24"/>
          <w:szCs w:val="24"/>
        </w:rPr>
      </w:pPr>
    </w:p>
    <w:p w14:paraId="6FE6CEAA" w14:textId="77777777" w:rsidR="005B62E6" w:rsidRPr="00431D53" w:rsidRDefault="005B62E6" w:rsidP="005B62E6">
      <w:pPr>
        <w:spacing w:line="360" w:lineRule="auto"/>
        <w:jc w:val="both"/>
        <w:rPr>
          <w:rFonts w:ascii="Arial" w:hAnsi="Arial" w:cs="Arial"/>
          <w:i/>
          <w:sz w:val="24"/>
          <w:szCs w:val="24"/>
        </w:rPr>
      </w:pPr>
      <w:r w:rsidRPr="00431D53">
        <w:rPr>
          <w:rFonts w:ascii="Arial" w:hAnsi="Arial" w:cs="Arial"/>
          <w:sz w:val="24"/>
          <w:szCs w:val="24"/>
        </w:rPr>
        <w:t>6. Atendiendo a las consideraciones expuestas por la Sala Plena de lo Contencioso Administrativo del Consejo de Estado, en sesión del día 15 de septiembre de 2015</w:t>
      </w:r>
      <w:r w:rsidRPr="00431D53">
        <w:rPr>
          <w:rStyle w:val="FootnoteReference"/>
          <w:rFonts w:ascii="Arial" w:hAnsi="Arial" w:cs="Arial"/>
          <w:spacing w:val="-3"/>
          <w:sz w:val="24"/>
          <w:szCs w:val="24"/>
        </w:rPr>
        <w:footnoteReference w:id="14"/>
      </w:r>
      <w:r w:rsidRPr="00431D53">
        <w:rPr>
          <w:rFonts w:ascii="Arial" w:hAnsi="Arial" w:cs="Arial"/>
          <w:sz w:val="24"/>
          <w:szCs w:val="24"/>
        </w:rPr>
        <w:t xml:space="preserve">; esta Sala Unitaria es competente para decidir el </w:t>
      </w:r>
      <w:r w:rsidRPr="00431D53">
        <w:rPr>
          <w:rFonts w:ascii="Arial" w:hAnsi="Arial" w:cs="Arial"/>
          <w:sz w:val="24"/>
          <w:szCs w:val="24"/>
        </w:rPr>
        <w:lastRenderedPageBreak/>
        <w:t>impedimento presentado por el Consejero de Estado, doctor Oswaldo Giraldo López, en el caso</w:t>
      </w:r>
      <w:r w:rsidRPr="00431D53">
        <w:rPr>
          <w:rFonts w:ascii="Arial" w:hAnsi="Arial" w:cs="Arial"/>
          <w:i/>
          <w:sz w:val="24"/>
          <w:szCs w:val="24"/>
        </w:rPr>
        <w:t xml:space="preserve"> sub examine.</w:t>
      </w:r>
    </w:p>
    <w:p w14:paraId="04933238" w14:textId="77777777" w:rsidR="005B62E6" w:rsidRPr="00431D53" w:rsidRDefault="005B62E6" w:rsidP="005B62E6">
      <w:pPr>
        <w:spacing w:line="360" w:lineRule="auto"/>
        <w:jc w:val="both"/>
        <w:rPr>
          <w:rFonts w:ascii="Arial" w:hAnsi="Arial" w:cs="Arial"/>
          <w:i/>
          <w:sz w:val="24"/>
          <w:szCs w:val="24"/>
        </w:rPr>
      </w:pPr>
    </w:p>
    <w:p w14:paraId="1DFA3589" w14:textId="77777777" w:rsidR="005B62E6" w:rsidRPr="00431D53" w:rsidRDefault="005B62E6" w:rsidP="005B62E6">
      <w:pPr>
        <w:spacing w:line="360" w:lineRule="auto"/>
        <w:jc w:val="both"/>
        <w:rPr>
          <w:rFonts w:ascii="Arial" w:hAnsi="Arial" w:cs="Arial"/>
          <w:b/>
          <w:sz w:val="24"/>
          <w:szCs w:val="24"/>
        </w:rPr>
      </w:pPr>
      <w:r w:rsidRPr="00431D53">
        <w:rPr>
          <w:rFonts w:ascii="Arial" w:hAnsi="Arial" w:cs="Arial"/>
          <w:b/>
          <w:sz w:val="24"/>
          <w:szCs w:val="24"/>
        </w:rPr>
        <w:t>Problema jurídico</w:t>
      </w:r>
    </w:p>
    <w:p w14:paraId="22E47C2C" w14:textId="77777777" w:rsidR="005B62E6" w:rsidRPr="00431D53" w:rsidRDefault="005B62E6" w:rsidP="005B62E6">
      <w:pPr>
        <w:spacing w:line="360" w:lineRule="auto"/>
        <w:jc w:val="both"/>
        <w:rPr>
          <w:rFonts w:ascii="Arial" w:hAnsi="Arial" w:cs="Arial"/>
          <w:sz w:val="24"/>
          <w:szCs w:val="24"/>
        </w:rPr>
      </w:pPr>
    </w:p>
    <w:p w14:paraId="327C6EB0" w14:textId="77777777" w:rsidR="005B62E6" w:rsidRPr="00431D53" w:rsidRDefault="005B62E6" w:rsidP="005B62E6">
      <w:pPr>
        <w:spacing w:line="360" w:lineRule="auto"/>
        <w:jc w:val="both"/>
        <w:rPr>
          <w:rFonts w:ascii="Arial" w:hAnsi="Arial" w:cs="Arial"/>
          <w:sz w:val="24"/>
          <w:szCs w:val="24"/>
          <w:lang w:eastAsia="es-CO"/>
        </w:rPr>
      </w:pPr>
      <w:r w:rsidRPr="00431D53">
        <w:rPr>
          <w:rFonts w:ascii="Arial" w:hAnsi="Arial" w:cs="Arial"/>
          <w:sz w:val="24"/>
          <w:szCs w:val="24"/>
        </w:rPr>
        <w:t xml:space="preserve">7. Corresponde a la Sala unitaria determinar si el magistrado de la Sección Primera del Consejo de Estado, doctor Oswaldo Giraldo López, se encuentra incurso en la causal de impedimento prevista en el </w:t>
      </w:r>
      <w:r w:rsidRPr="00431D53">
        <w:rPr>
          <w:rFonts w:ascii="Arial" w:eastAsia="Arial" w:hAnsi="Arial" w:cs="Arial"/>
          <w:sz w:val="24"/>
          <w:szCs w:val="24"/>
        </w:rPr>
        <w:t xml:space="preserve">numeral 9 </w:t>
      </w:r>
      <w:r w:rsidRPr="00431D53">
        <w:rPr>
          <w:rFonts w:ascii="Arial" w:hAnsi="Arial" w:cs="Arial"/>
          <w:sz w:val="24"/>
          <w:szCs w:val="24"/>
          <w:lang w:eastAsia="es-CO"/>
        </w:rPr>
        <w:t xml:space="preserve">del artículo 141 de la Ley 1564 de </w:t>
      </w:r>
      <w:r w:rsidRPr="00431D53">
        <w:rPr>
          <w:rFonts w:ascii="Arial" w:hAnsi="Arial" w:cs="Arial"/>
          <w:sz w:val="24"/>
          <w:szCs w:val="24"/>
        </w:rPr>
        <w:t>12 de julio de 2012</w:t>
      </w:r>
      <w:r w:rsidRPr="00431D53">
        <w:rPr>
          <w:rFonts w:ascii="Arial" w:hAnsi="Arial" w:cs="Arial"/>
          <w:sz w:val="24"/>
          <w:szCs w:val="24"/>
          <w:vertAlign w:val="superscript"/>
        </w:rPr>
        <w:footnoteReference w:id="15"/>
      </w:r>
      <w:r w:rsidRPr="00431D53">
        <w:rPr>
          <w:rFonts w:ascii="Arial" w:hAnsi="Arial" w:cs="Arial"/>
          <w:sz w:val="24"/>
          <w:szCs w:val="24"/>
        </w:rPr>
        <w:t>.</w:t>
      </w:r>
    </w:p>
    <w:p w14:paraId="6AAF3372" w14:textId="77777777" w:rsidR="005B62E6" w:rsidRPr="00431D53" w:rsidRDefault="005B62E6" w:rsidP="005B62E6">
      <w:pPr>
        <w:spacing w:line="360" w:lineRule="auto"/>
        <w:jc w:val="both"/>
        <w:rPr>
          <w:rFonts w:ascii="Arial" w:hAnsi="Arial" w:cs="Arial"/>
          <w:sz w:val="24"/>
          <w:szCs w:val="24"/>
        </w:rPr>
      </w:pPr>
    </w:p>
    <w:p w14:paraId="5E5590A0" w14:textId="77777777" w:rsidR="005B62E6" w:rsidRPr="00431D53" w:rsidRDefault="005B62E6" w:rsidP="005B62E6">
      <w:pPr>
        <w:spacing w:line="360" w:lineRule="auto"/>
        <w:jc w:val="both"/>
        <w:rPr>
          <w:rFonts w:ascii="Arial" w:hAnsi="Arial" w:cs="Arial"/>
          <w:sz w:val="24"/>
          <w:szCs w:val="24"/>
        </w:rPr>
      </w:pPr>
      <w:r w:rsidRPr="00431D53">
        <w:rPr>
          <w:rFonts w:ascii="Arial" w:hAnsi="Arial" w:cs="Arial"/>
          <w:sz w:val="24"/>
          <w:szCs w:val="24"/>
        </w:rPr>
        <w:t xml:space="preserve">8. Para resolver el problema jurídico planteado, la Sala Unitaria analizará: i) el marco normativo de la causal de impedimento invocada </w:t>
      </w:r>
      <w:r w:rsidRPr="00431D53">
        <w:rPr>
          <w:rFonts w:ascii="Arial" w:hAnsi="Arial" w:cs="Arial"/>
          <w:i/>
          <w:sz w:val="24"/>
          <w:szCs w:val="24"/>
        </w:rPr>
        <w:t>supra</w:t>
      </w:r>
      <w:r w:rsidRPr="00431D53">
        <w:rPr>
          <w:rFonts w:ascii="Arial" w:hAnsi="Arial" w:cs="Arial"/>
          <w:sz w:val="24"/>
          <w:szCs w:val="24"/>
        </w:rPr>
        <w:t>; y ii) el análisis del caso concreto.</w:t>
      </w:r>
    </w:p>
    <w:p w14:paraId="139A3FC4" w14:textId="77777777" w:rsidR="005B62E6" w:rsidRPr="00431D53" w:rsidRDefault="005B62E6" w:rsidP="005B62E6">
      <w:pPr>
        <w:spacing w:line="360" w:lineRule="auto"/>
        <w:jc w:val="both"/>
        <w:rPr>
          <w:rFonts w:ascii="Arial" w:hAnsi="Arial" w:cs="Arial"/>
          <w:sz w:val="24"/>
          <w:szCs w:val="24"/>
        </w:rPr>
      </w:pPr>
    </w:p>
    <w:p w14:paraId="1F8CFC6D" w14:textId="77777777" w:rsidR="005B62E6" w:rsidRPr="00431D53" w:rsidRDefault="005B62E6" w:rsidP="005B62E6">
      <w:pPr>
        <w:spacing w:line="360" w:lineRule="auto"/>
        <w:jc w:val="both"/>
        <w:rPr>
          <w:rFonts w:ascii="Arial" w:hAnsi="Arial" w:cs="Arial"/>
          <w:b/>
          <w:sz w:val="24"/>
          <w:szCs w:val="24"/>
          <w:lang w:eastAsia="es-CO"/>
        </w:rPr>
      </w:pPr>
      <w:r w:rsidRPr="00431D53">
        <w:rPr>
          <w:rFonts w:ascii="Arial" w:hAnsi="Arial" w:cs="Arial"/>
          <w:b/>
          <w:sz w:val="24"/>
          <w:szCs w:val="24"/>
        </w:rPr>
        <w:t>Causal de impedimento</w:t>
      </w:r>
    </w:p>
    <w:p w14:paraId="7EBC9A3D" w14:textId="77777777" w:rsidR="005B62E6" w:rsidRPr="00431D53" w:rsidRDefault="005B62E6" w:rsidP="005B62E6">
      <w:pPr>
        <w:spacing w:line="360" w:lineRule="auto"/>
        <w:jc w:val="both"/>
        <w:rPr>
          <w:rFonts w:ascii="Arial" w:hAnsi="Arial" w:cs="Arial"/>
          <w:sz w:val="24"/>
          <w:szCs w:val="24"/>
          <w:lang w:eastAsia="es-CO"/>
        </w:rPr>
      </w:pPr>
    </w:p>
    <w:p w14:paraId="247622A7" w14:textId="77777777" w:rsidR="005B62E6" w:rsidRPr="00431D53" w:rsidRDefault="005B62E6" w:rsidP="005B62E6">
      <w:pPr>
        <w:spacing w:line="360" w:lineRule="auto"/>
        <w:jc w:val="both"/>
        <w:rPr>
          <w:rFonts w:ascii="Arial" w:hAnsi="Arial" w:cs="Arial"/>
          <w:sz w:val="24"/>
          <w:szCs w:val="24"/>
          <w:lang w:eastAsia="es-CO"/>
        </w:rPr>
      </w:pPr>
      <w:r w:rsidRPr="00431D53">
        <w:rPr>
          <w:rFonts w:ascii="Arial" w:hAnsi="Arial" w:cs="Arial"/>
          <w:sz w:val="24"/>
          <w:szCs w:val="24"/>
          <w:lang w:eastAsia="es-CO"/>
        </w:rPr>
        <w:t>9.</w:t>
      </w:r>
      <w:r w:rsidRPr="00431D53">
        <w:rPr>
          <w:rFonts w:ascii="Arial" w:hAnsi="Arial" w:cs="Arial"/>
          <w:sz w:val="24"/>
          <w:szCs w:val="24"/>
        </w:rPr>
        <w:t xml:space="preserve"> Vistos: i) los artículos 160 y 160A del Decreto Ley 01 de 2 de enero de 1984, sobre las causales y procedimiento para la recusación e impedimento de los consejeros de Estado, magistrados y jueces de la República; y ii) el artículo 141 de la Ley 1564</w:t>
      </w:r>
      <w:r w:rsidRPr="00431D53">
        <w:rPr>
          <w:rStyle w:val="FootnoteReference"/>
          <w:rFonts w:ascii="Arial" w:hAnsi="Arial" w:cs="Arial"/>
          <w:sz w:val="24"/>
          <w:szCs w:val="24"/>
        </w:rPr>
        <w:footnoteReference w:id="16"/>
      </w:r>
      <w:r w:rsidRPr="00431D53">
        <w:rPr>
          <w:rFonts w:ascii="Arial" w:hAnsi="Arial" w:cs="Arial"/>
          <w:sz w:val="24"/>
          <w:szCs w:val="24"/>
        </w:rPr>
        <w:t>, sobre causales de recusación, que dispone:</w:t>
      </w:r>
    </w:p>
    <w:p w14:paraId="631C2A52" w14:textId="77777777" w:rsidR="005B62E6" w:rsidRPr="00431D53" w:rsidRDefault="005B62E6" w:rsidP="005B62E6">
      <w:pPr>
        <w:tabs>
          <w:tab w:val="left" w:pos="3159"/>
        </w:tabs>
        <w:spacing w:line="360" w:lineRule="auto"/>
        <w:jc w:val="both"/>
        <w:rPr>
          <w:rFonts w:ascii="Arial" w:hAnsi="Arial" w:cs="Arial"/>
          <w:sz w:val="24"/>
          <w:szCs w:val="24"/>
          <w:lang w:eastAsia="es-CO"/>
        </w:rPr>
      </w:pPr>
    </w:p>
    <w:p w14:paraId="4A907AD5" w14:textId="77777777" w:rsidR="005B62E6" w:rsidRPr="00431D53" w:rsidRDefault="005B62E6" w:rsidP="005B62E6">
      <w:pPr>
        <w:pStyle w:val="NormalWeb"/>
        <w:shd w:val="clear" w:color="auto" w:fill="FFFFFF"/>
        <w:spacing w:before="0" w:beforeAutospacing="0" w:after="0" w:afterAutospacing="0"/>
        <w:ind w:left="567" w:right="567"/>
        <w:jc w:val="both"/>
        <w:rPr>
          <w:rFonts w:ascii="Arial" w:hAnsi="Arial" w:cs="Arial"/>
          <w:bCs/>
          <w:i/>
        </w:rPr>
      </w:pPr>
      <w:r w:rsidRPr="00431D53">
        <w:rPr>
          <w:rFonts w:ascii="Arial" w:hAnsi="Arial" w:cs="Arial"/>
          <w:bCs/>
          <w:i/>
        </w:rPr>
        <w:t>“</w:t>
      </w:r>
      <w:r w:rsidRPr="00431D53">
        <w:rPr>
          <w:rFonts w:ascii="Arial" w:hAnsi="Arial" w:cs="Arial"/>
          <w:i/>
        </w:rPr>
        <w:t>[…]</w:t>
      </w:r>
      <w:r w:rsidRPr="00431D53">
        <w:rPr>
          <w:rFonts w:ascii="Arial" w:hAnsi="Arial" w:cs="Arial"/>
          <w:b/>
          <w:bCs/>
          <w:i/>
        </w:rPr>
        <w:t xml:space="preserve"> Artículo 141. Causales de recusación.</w:t>
      </w:r>
      <w:r w:rsidRPr="00431D53">
        <w:rPr>
          <w:rFonts w:ascii="Arial" w:hAnsi="Arial" w:cs="Arial"/>
          <w:bCs/>
          <w:i/>
        </w:rPr>
        <w:t xml:space="preserve"> Son causales de recusación las siguientes:</w:t>
      </w:r>
    </w:p>
    <w:p w14:paraId="23C51E90" w14:textId="77777777" w:rsidR="005B62E6" w:rsidRPr="00431D53" w:rsidRDefault="005B62E6" w:rsidP="005B62E6">
      <w:pPr>
        <w:pStyle w:val="NormalWeb"/>
        <w:shd w:val="clear" w:color="auto" w:fill="FFFFFF"/>
        <w:spacing w:before="0" w:beforeAutospacing="0" w:after="0" w:afterAutospacing="0"/>
        <w:ind w:left="567" w:right="567"/>
        <w:jc w:val="both"/>
        <w:rPr>
          <w:rFonts w:ascii="Arial" w:hAnsi="Arial" w:cs="Arial"/>
          <w:bCs/>
          <w:i/>
        </w:rPr>
      </w:pPr>
      <w:r w:rsidRPr="00431D53">
        <w:rPr>
          <w:rFonts w:ascii="Arial" w:hAnsi="Arial" w:cs="Arial"/>
          <w:bCs/>
          <w:i/>
        </w:rPr>
        <w:t>[…]</w:t>
      </w:r>
    </w:p>
    <w:p w14:paraId="5C324457" w14:textId="77777777" w:rsidR="005B62E6" w:rsidRPr="00431D53" w:rsidRDefault="005B62E6" w:rsidP="005B62E6">
      <w:pPr>
        <w:pStyle w:val="NormalWeb"/>
        <w:shd w:val="clear" w:color="auto" w:fill="FFFFFF"/>
        <w:spacing w:before="0" w:beforeAutospacing="0" w:after="0" w:afterAutospacing="0"/>
        <w:ind w:left="567" w:right="567"/>
        <w:jc w:val="both"/>
        <w:rPr>
          <w:rFonts w:ascii="Arial" w:hAnsi="Arial" w:cs="Arial"/>
        </w:rPr>
      </w:pPr>
      <w:r w:rsidRPr="00431D53">
        <w:rPr>
          <w:rFonts w:ascii="Arial" w:hAnsi="Arial" w:cs="Arial"/>
          <w:bCs/>
          <w:i/>
        </w:rPr>
        <w:t xml:space="preserve">9. Existir enemistad grave o </w:t>
      </w:r>
      <w:r w:rsidRPr="00431D53">
        <w:rPr>
          <w:rFonts w:ascii="Arial" w:hAnsi="Arial" w:cs="Arial"/>
          <w:b/>
          <w:bCs/>
          <w:i/>
        </w:rPr>
        <w:t>amistad íntima</w:t>
      </w:r>
      <w:r w:rsidRPr="00431D53">
        <w:rPr>
          <w:rFonts w:ascii="Arial" w:hAnsi="Arial" w:cs="Arial"/>
          <w:bCs/>
          <w:i/>
        </w:rPr>
        <w:t xml:space="preserve"> entre el juez y alguna de las partes, su representante o apoderado. […]” </w:t>
      </w:r>
      <w:r w:rsidRPr="00431D53">
        <w:rPr>
          <w:rFonts w:ascii="Arial" w:hAnsi="Arial" w:cs="Arial"/>
          <w:bCs/>
        </w:rPr>
        <w:t>(Destacado de la Sala).</w:t>
      </w:r>
    </w:p>
    <w:p w14:paraId="0F74A921" w14:textId="77777777" w:rsidR="005B62E6" w:rsidRPr="00431D53" w:rsidRDefault="005B62E6" w:rsidP="005B62E6">
      <w:pPr>
        <w:spacing w:line="360" w:lineRule="auto"/>
        <w:jc w:val="both"/>
        <w:rPr>
          <w:rFonts w:ascii="Arial" w:hAnsi="Arial" w:cs="Arial"/>
          <w:sz w:val="24"/>
          <w:szCs w:val="24"/>
          <w:lang w:eastAsia="es-CO"/>
        </w:rPr>
      </w:pPr>
    </w:p>
    <w:p w14:paraId="09892392" w14:textId="77777777" w:rsidR="005B62E6" w:rsidRPr="00431D53" w:rsidRDefault="005B62E6" w:rsidP="005B62E6">
      <w:pPr>
        <w:spacing w:line="360" w:lineRule="auto"/>
        <w:jc w:val="both"/>
        <w:rPr>
          <w:rFonts w:ascii="Arial" w:hAnsi="Arial" w:cs="Arial"/>
          <w:sz w:val="24"/>
          <w:szCs w:val="24"/>
          <w:lang w:eastAsia="es-CO"/>
        </w:rPr>
      </w:pPr>
      <w:r w:rsidRPr="00431D53">
        <w:rPr>
          <w:rFonts w:ascii="Arial" w:hAnsi="Arial" w:cs="Arial"/>
          <w:sz w:val="24"/>
          <w:szCs w:val="24"/>
          <w:lang w:eastAsia="es-CO"/>
        </w:rPr>
        <w:t xml:space="preserve">10. </w:t>
      </w:r>
      <w:r w:rsidRPr="00431D53">
        <w:rPr>
          <w:rFonts w:ascii="Arial" w:hAnsi="Arial" w:cs="Arial"/>
          <w:sz w:val="24"/>
          <w:szCs w:val="24"/>
        </w:rPr>
        <w:t xml:space="preserve">Atendiendo a que la jurisprudencia de la Corte Constitucional, frente a la causal de impedimento por amistad íntima, ha señalado que </w:t>
      </w:r>
      <w:r w:rsidRPr="00431D53">
        <w:rPr>
          <w:rFonts w:ascii="Arial" w:hAnsi="Arial" w:cs="Arial"/>
          <w:i/>
          <w:sz w:val="24"/>
          <w:szCs w:val="24"/>
        </w:rPr>
        <w:t xml:space="preserve">“[…] la causal de impedimento por amistad íntima o enemistad grave entre alguna de las partes y el funcionario judicial, hace referencia a un criterio subjetivo en el que el fallador debe evaluar de forma particular la relación de correspondencia de los hechos referidos por parte de quien se declara impedido, la relación existente entre el </w:t>
      </w:r>
      <w:r w:rsidRPr="00431D53">
        <w:rPr>
          <w:rFonts w:ascii="Arial" w:hAnsi="Arial" w:cs="Arial"/>
          <w:i/>
          <w:sz w:val="24"/>
          <w:szCs w:val="24"/>
        </w:rPr>
        <w:lastRenderedPageBreak/>
        <w:t>funcionario y alguna de las partes del proceso y la posibilidad de que ésta afecte la imparcialidad de la decisión. […]”</w:t>
      </w:r>
      <w:r w:rsidRPr="00431D53">
        <w:rPr>
          <w:rStyle w:val="FootnoteReference"/>
          <w:rFonts w:ascii="Arial" w:hAnsi="Arial" w:cs="Arial"/>
          <w:sz w:val="24"/>
          <w:szCs w:val="24"/>
        </w:rPr>
        <w:footnoteReference w:id="17"/>
      </w:r>
    </w:p>
    <w:p w14:paraId="6D263D93" w14:textId="77777777" w:rsidR="005B62E6" w:rsidRPr="00431D53" w:rsidRDefault="005B62E6" w:rsidP="005B62E6">
      <w:pPr>
        <w:spacing w:line="360" w:lineRule="auto"/>
        <w:jc w:val="both"/>
        <w:rPr>
          <w:rFonts w:ascii="Arial" w:hAnsi="Arial" w:cs="Arial"/>
          <w:sz w:val="24"/>
          <w:szCs w:val="24"/>
          <w:lang w:eastAsia="es-CO"/>
        </w:rPr>
      </w:pPr>
    </w:p>
    <w:p w14:paraId="6F1530AD" w14:textId="77777777" w:rsidR="005B62E6" w:rsidRPr="00431D53" w:rsidRDefault="005B62E6" w:rsidP="005B62E6">
      <w:pPr>
        <w:spacing w:line="360" w:lineRule="auto"/>
        <w:jc w:val="both"/>
        <w:rPr>
          <w:rFonts w:ascii="Arial" w:hAnsi="Arial" w:cs="Arial"/>
          <w:sz w:val="24"/>
          <w:szCs w:val="24"/>
          <w:lang w:eastAsia="es-CO"/>
        </w:rPr>
      </w:pPr>
      <w:r w:rsidRPr="00431D53">
        <w:rPr>
          <w:rFonts w:ascii="Arial" w:hAnsi="Arial" w:cs="Arial"/>
          <w:sz w:val="24"/>
          <w:szCs w:val="24"/>
          <w:lang w:eastAsia="es-CO"/>
        </w:rPr>
        <w:t>11. Los impedimentos y las recusaciones establecidas en la ley son mecanismos jurídicos que buscan garantizar que las decisiones adoptadas por los administradores judiciales estén enmarcadas dentro de los principios de imparcialidad, independencia y transparencia.</w:t>
      </w:r>
    </w:p>
    <w:p w14:paraId="1AF95BDB" w14:textId="77777777" w:rsidR="005B62E6" w:rsidRPr="00431D53" w:rsidRDefault="005B62E6" w:rsidP="005B62E6">
      <w:pPr>
        <w:spacing w:line="360" w:lineRule="auto"/>
        <w:jc w:val="both"/>
        <w:rPr>
          <w:rFonts w:ascii="Arial" w:hAnsi="Arial" w:cs="Arial"/>
          <w:sz w:val="24"/>
          <w:szCs w:val="24"/>
          <w:lang w:eastAsia="es-CO"/>
        </w:rPr>
      </w:pPr>
    </w:p>
    <w:p w14:paraId="6B458F89" w14:textId="77777777" w:rsidR="005B62E6" w:rsidRPr="00431D53" w:rsidRDefault="005B62E6" w:rsidP="005B62E6">
      <w:pPr>
        <w:spacing w:line="360" w:lineRule="auto"/>
        <w:jc w:val="both"/>
        <w:rPr>
          <w:rFonts w:ascii="Arial" w:hAnsi="Arial" w:cs="Arial"/>
          <w:sz w:val="24"/>
          <w:szCs w:val="24"/>
          <w:lang w:eastAsia="es-CO"/>
        </w:rPr>
      </w:pPr>
      <w:r w:rsidRPr="00431D53">
        <w:rPr>
          <w:rFonts w:ascii="Arial" w:hAnsi="Arial" w:cs="Arial"/>
          <w:sz w:val="24"/>
          <w:szCs w:val="24"/>
          <w:lang w:eastAsia="es-CO"/>
        </w:rPr>
        <w:t>12. Estas instituciones procesales tienen igualmente su fundamento constitucional en el derecho al debido proceso porque el trámite judicial adelantado por un juez subjetivamente incompetente no puede entenderse desarrollado bajo el amparo de la presunción de imparcialidad a la cual se llega solo en cuanto sea posible garantizar que el funcionario judicial procede y juzga con absoluta rectitud; esto es, apartado de designios anticipados o prevenciones que, al margen del análisis estrictamente probatorio y legal, puedan favorecer o perjudicar a una de las partes.</w:t>
      </w:r>
    </w:p>
    <w:p w14:paraId="66A076B3" w14:textId="77777777" w:rsidR="005B62E6" w:rsidRPr="00431D53" w:rsidRDefault="005B62E6" w:rsidP="005B62E6">
      <w:pPr>
        <w:pStyle w:val="NoSpacing"/>
        <w:tabs>
          <w:tab w:val="left" w:pos="1046"/>
        </w:tabs>
        <w:spacing w:line="360" w:lineRule="auto"/>
        <w:rPr>
          <w:rFonts w:ascii="Arial" w:hAnsi="Arial" w:cs="Arial"/>
          <w:b/>
          <w:bCs/>
          <w:sz w:val="24"/>
          <w:szCs w:val="24"/>
          <w:lang w:val="es-CO"/>
        </w:rPr>
      </w:pPr>
    </w:p>
    <w:p w14:paraId="34F69BA7" w14:textId="77777777" w:rsidR="005B62E6" w:rsidRPr="00431D53" w:rsidRDefault="005B62E6" w:rsidP="005B62E6">
      <w:pPr>
        <w:numPr>
          <w:ilvl w:val="12"/>
          <w:numId w:val="0"/>
        </w:numPr>
        <w:spacing w:line="360" w:lineRule="auto"/>
        <w:jc w:val="both"/>
        <w:rPr>
          <w:rFonts w:ascii="Arial" w:hAnsi="Arial" w:cs="Arial"/>
          <w:b/>
          <w:bCs/>
          <w:sz w:val="24"/>
          <w:szCs w:val="24"/>
        </w:rPr>
      </w:pPr>
      <w:r w:rsidRPr="00431D53">
        <w:rPr>
          <w:rFonts w:ascii="Arial" w:hAnsi="Arial" w:cs="Arial"/>
          <w:b/>
          <w:bCs/>
          <w:sz w:val="24"/>
          <w:szCs w:val="24"/>
        </w:rPr>
        <w:t>Análisis del caso concreto</w:t>
      </w:r>
    </w:p>
    <w:p w14:paraId="73BE1B59" w14:textId="77777777" w:rsidR="005B62E6" w:rsidRPr="00431D53" w:rsidRDefault="005B62E6" w:rsidP="005B62E6">
      <w:pPr>
        <w:pStyle w:val="NoSpacing"/>
        <w:spacing w:line="360" w:lineRule="auto"/>
        <w:rPr>
          <w:rFonts w:ascii="Arial" w:hAnsi="Arial" w:cs="Arial"/>
          <w:sz w:val="24"/>
          <w:szCs w:val="24"/>
          <w:lang w:val="es-CO"/>
        </w:rPr>
      </w:pPr>
    </w:p>
    <w:p w14:paraId="5F2C22AF" w14:textId="77777777" w:rsidR="005B62E6" w:rsidRPr="00431D53" w:rsidRDefault="005B62E6" w:rsidP="005B62E6">
      <w:pPr>
        <w:pBdr>
          <w:top w:val="nil"/>
          <w:left w:val="nil"/>
          <w:bottom w:val="nil"/>
          <w:right w:val="nil"/>
          <w:between w:val="nil"/>
          <w:bar w:val="nil"/>
        </w:pBdr>
        <w:overflowPunct w:val="0"/>
        <w:autoSpaceDE w:val="0"/>
        <w:autoSpaceDN w:val="0"/>
        <w:adjustRightInd w:val="0"/>
        <w:spacing w:line="360" w:lineRule="auto"/>
        <w:ind w:left="6"/>
        <w:jc w:val="both"/>
        <w:textAlignment w:val="baseline"/>
        <w:rPr>
          <w:rFonts w:ascii="Arial" w:hAnsi="Arial" w:cs="Arial"/>
          <w:sz w:val="24"/>
          <w:szCs w:val="24"/>
        </w:rPr>
      </w:pPr>
      <w:r w:rsidRPr="00431D53">
        <w:rPr>
          <w:rFonts w:ascii="Arial" w:hAnsi="Arial" w:cs="Arial"/>
          <w:sz w:val="24"/>
          <w:szCs w:val="24"/>
          <w:lang w:eastAsia="es-CO"/>
        </w:rPr>
        <w:t>13</w:t>
      </w:r>
      <w:r w:rsidRPr="00431D53">
        <w:rPr>
          <w:rFonts w:ascii="Arial" w:hAnsi="Arial" w:cs="Arial"/>
          <w:sz w:val="24"/>
          <w:szCs w:val="24"/>
        </w:rPr>
        <w:t>. Atendiendo a que el Consejero de Estado, doctor Oswaldo Giraldo López, fundamentó su impedimento en que mantiene una amistad íntima con el abogado Emilio José Archila Peñalosa, apoderado de la parte</w:t>
      </w:r>
      <w:r w:rsidRPr="00431D53">
        <w:rPr>
          <w:rFonts w:ascii="Arial" w:eastAsia="Times New Roman" w:hAnsi="Arial" w:cs="Arial"/>
          <w:sz w:val="24"/>
          <w:szCs w:val="24"/>
          <w:lang w:eastAsia="es-ES"/>
        </w:rPr>
        <w:t xml:space="preserve"> demandante </w:t>
      </w:r>
      <w:r w:rsidRPr="00431D53">
        <w:rPr>
          <w:rFonts w:ascii="Arial" w:hAnsi="Arial" w:cs="Arial"/>
          <w:sz w:val="24"/>
          <w:szCs w:val="24"/>
        </w:rPr>
        <w:t>en el proceso de la referencia.</w:t>
      </w:r>
    </w:p>
    <w:p w14:paraId="3B3B8F6E" w14:textId="77777777" w:rsidR="005B62E6" w:rsidRPr="00431D53" w:rsidRDefault="005B62E6" w:rsidP="005B62E6">
      <w:pPr>
        <w:spacing w:line="360" w:lineRule="auto"/>
        <w:jc w:val="both"/>
        <w:rPr>
          <w:rFonts w:ascii="Arial" w:hAnsi="Arial" w:cs="Arial"/>
          <w:sz w:val="24"/>
          <w:szCs w:val="24"/>
        </w:rPr>
      </w:pPr>
    </w:p>
    <w:p w14:paraId="76FA5276" w14:textId="77777777" w:rsidR="005B62E6" w:rsidRPr="00431D53" w:rsidRDefault="005B62E6" w:rsidP="005B62E6">
      <w:pPr>
        <w:spacing w:line="360" w:lineRule="auto"/>
        <w:jc w:val="both"/>
        <w:rPr>
          <w:rFonts w:ascii="Arial" w:hAnsi="Arial" w:cs="Arial"/>
          <w:sz w:val="24"/>
          <w:szCs w:val="24"/>
        </w:rPr>
      </w:pPr>
      <w:r w:rsidRPr="00431D53">
        <w:rPr>
          <w:rFonts w:ascii="Arial" w:hAnsi="Arial" w:cs="Arial"/>
          <w:sz w:val="24"/>
          <w:szCs w:val="24"/>
        </w:rPr>
        <w:t xml:space="preserve">14. Considerando que el impedimento manifestado por </w:t>
      </w:r>
      <w:r w:rsidRPr="00431D53">
        <w:rPr>
          <w:rFonts w:ascii="Arial" w:eastAsia="Times New Roman" w:hAnsi="Arial" w:cs="Arial"/>
          <w:sz w:val="24"/>
          <w:szCs w:val="24"/>
          <w:lang w:eastAsia="es-CO"/>
        </w:rPr>
        <w:t xml:space="preserve">el Consejero de Estado, doctor Oswaldo Giraldo López, cumple con el supuesto establecido en el numeral 9 </w:t>
      </w:r>
      <w:r w:rsidRPr="00431D53">
        <w:rPr>
          <w:rFonts w:ascii="Arial" w:hAnsi="Arial" w:cs="Arial"/>
          <w:sz w:val="24"/>
          <w:szCs w:val="24"/>
        </w:rPr>
        <w:t xml:space="preserve">del artículo 141 de la Ley 1564 y de la jurisprudencia citada </w:t>
      </w:r>
      <w:r w:rsidRPr="00431D53">
        <w:rPr>
          <w:rFonts w:ascii="Arial" w:hAnsi="Arial" w:cs="Arial"/>
          <w:i/>
          <w:sz w:val="24"/>
          <w:szCs w:val="24"/>
        </w:rPr>
        <w:t>supra</w:t>
      </w:r>
      <w:r w:rsidRPr="00431D53">
        <w:rPr>
          <w:rFonts w:ascii="Arial" w:eastAsia="Times New Roman" w:hAnsi="Arial" w:cs="Arial"/>
          <w:sz w:val="24"/>
          <w:szCs w:val="24"/>
          <w:lang w:eastAsia="es-CO"/>
        </w:rPr>
        <w:t>, por cuanto mantiene una amistad íntima con el apoderado de la sociedad demandante</w:t>
      </w:r>
      <w:r w:rsidRPr="00431D53">
        <w:rPr>
          <w:rFonts w:ascii="Arial" w:eastAsia="Times New Roman" w:hAnsi="Arial" w:cs="Arial"/>
          <w:sz w:val="24"/>
          <w:szCs w:val="24"/>
          <w:lang w:eastAsia="es-ES"/>
        </w:rPr>
        <w:t>, la Sala Unitaria lo declarará fundado.</w:t>
      </w:r>
    </w:p>
    <w:p w14:paraId="7C3A8175" w14:textId="77777777" w:rsidR="005B62E6" w:rsidRPr="00431D53" w:rsidRDefault="005B62E6" w:rsidP="005B62E6">
      <w:pPr>
        <w:spacing w:line="360" w:lineRule="auto"/>
        <w:jc w:val="both"/>
        <w:rPr>
          <w:rFonts w:ascii="Arial" w:hAnsi="Arial" w:cs="Arial"/>
          <w:sz w:val="24"/>
          <w:szCs w:val="24"/>
        </w:rPr>
      </w:pPr>
    </w:p>
    <w:p w14:paraId="6B856ACD" w14:textId="77777777" w:rsidR="005B62E6" w:rsidRPr="00431D53" w:rsidRDefault="005B62E6" w:rsidP="005B62E6">
      <w:pPr>
        <w:overflowPunct w:val="0"/>
        <w:autoSpaceDE w:val="0"/>
        <w:autoSpaceDN w:val="0"/>
        <w:adjustRightInd w:val="0"/>
        <w:spacing w:line="360" w:lineRule="auto"/>
        <w:jc w:val="both"/>
        <w:textAlignment w:val="baseline"/>
        <w:rPr>
          <w:rFonts w:ascii="Arial" w:eastAsia="Times New Roman" w:hAnsi="Arial" w:cs="Arial"/>
          <w:b/>
          <w:bCs/>
          <w:spacing w:val="-3"/>
          <w:sz w:val="24"/>
          <w:szCs w:val="24"/>
          <w:lang w:eastAsia="es-CO"/>
        </w:rPr>
      </w:pPr>
      <w:r w:rsidRPr="00431D53">
        <w:rPr>
          <w:rFonts w:ascii="Arial" w:eastAsia="Times New Roman" w:hAnsi="Arial" w:cs="Arial"/>
          <w:b/>
          <w:bCs/>
          <w:spacing w:val="-3"/>
          <w:sz w:val="24"/>
          <w:szCs w:val="24"/>
          <w:lang w:eastAsia="es-CO"/>
        </w:rPr>
        <w:t>En mérito de lo expuesto, el Consejo de Estado, Sala de lo Contencioso Administrativo, Sección Primera, en Sala Unitaria,</w:t>
      </w:r>
    </w:p>
    <w:p w14:paraId="785F19B4" w14:textId="77777777" w:rsidR="005B62E6" w:rsidRPr="00431D53" w:rsidRDefault="005B62E6" w:rsidP="005B62E6">
      <w:pPr>
        <w:jc w:val="both"/>
        <w:rPr>
          <w:rFonts w:ascii="Arial" w:eastAsia="Times New Roman" w:hAnsi="Arial" w:cs="Arial"/>
          <w:sz w:val="24"/>
          <w:szCs w:val="24"/>
          <w:lang w:eastAsia="es-CO"/>
        </w:rPr>
      </w:pPr>
    </w:p>
    <w:p w14:paraId="736A097F" w14:textId="77777777" w:rsidR="005B62E6" w:rsidRPr="00431D53" w:rsidRDefault="005B62E6" w:rsidP="005B62E6">
      <w:pPr>
        <w:spacing w:line="360" w:lineRule="auto"/>
        <w:jc w:val="center"/>
        <w:rPr>
          <w:rFonts w:ascii="Arial" w:eastAsia="Times New Roman" w:hAnsi="Arial" w:cs="Arial"/>
          <w:b/>
          <w:sz w:val="24"/>
          <w:szCs w:val="24"/>
          <w:lang w:eastAsia="es-CO"/>
        </w:rPr>
      </w:pPr>
      <w:r w:rsidRPr="00431D53">
        <w:rPr>
          <w:rFonts w:ascii="Arial" w:eastAsia="Times New Roman" w:hAnsi="Arial" w:cs="Arial"/>
          <w:b/>
          <w:sz w:val="24"/>
          <w:szCs w:val="24"/>
          <w:lang w:eastAsia="es-CO"/>
        </w:rPr>
        <w:t>III. RESUELVE:</w:t>
      </w:r>
    </w:p>
    <w:p w14:paraId="45FB37C2" w14:textId="77777777" w:rsidR="005B62E6" w:rsidRPr="00431D53" w:rsidRDefault="005B62E6" w:rsidP="00EF53B5">
      <w:pPr>
        <w:spacing w:line="360" w:lineRule="auto"/>
        <w:jc w:val="both"/>
        <w:rPr>
          <w:rFonts w:ascii="Arial" w:hAnsi="Arial" w:cs="Arial"/>
          <w:spacing w:val="-3"/>
          <w:sz w:val="24"/>
          <w:szCs w:val="24"/>
        </w:rPr>
      </w:pPr>
    </w:p>
    <w:p w14:paraId="5196F999" w14:textId="77777777" w:rsidR="005B62E6" w:rsidRPr="00431D53" w:rsidRDefault="005B62E6" w:rsidP="005B62E6">
      <w:pPr>
        <w:spacing w:line="360" w:lineRule="auto"/>
        <w:jc w:val="both"/>
        <w:rPr>
          <w:rFonts w:ascii="Arial" w:eastAsia="Times New Roman" w:hAnsi="Arial" w:cs="Arial"/>
          <w:sz w:val="24"/>
          <w:szCs w:val="24"/>
          <w:lang w:eastAsia="es-CO"/>
        </w:rPr>
      </w:pPr>
      <w:r w:rsidRPr="00431D53">
        <w:rPr>
          <w:rFonts w:ascii="Arial" w:eastAsia="Times New Roman" w:hAnsi="Arial" w:cs="Arial"/>
          <w:b/>
          <w:sz w:val="24"/>
          <w:szCs w:val="24"/>
          <w:lang w:eastAsia="es-CO"/>
        </w:rPr>
        <w:lastRenderedPageBreak/>
        <w:t xml:space="preserve">PRIMERO: ACEPTAR </w:t>
      </w:r>
      <w:r w:rsidRPr="00431D53">
        <w:rPr>
          <w:rFonts w:ascii="Arial" w:eastAsia="Times New Roman" w:hAnsi="Arial" w:cs="Arial"/>
          <w:sz w:val="24"/>
          <w:szCs w:val="24"/>
          <w:lang w:eastAsia="es-CO"/>
        </w:rPr>
        <w:t>el impedimento manifestado por el Consejero de Estado, doctor Oswaldo Giraldo López</w:t>
      </w:r>
      <w:r w:rsidRPr="00431D53">
        <w:rPr>
          <w:rFonts w:ascii="Arial" w:hAnsi="Arial" w:cs="Arial"/>
          <w:spacing w:val="-3"/>
          <w:sz w:val="24"/>
          <w:szCs w:val="24"/>
        </w:rPr>
        <w:t>, por las razones expuestas en la parte motiva de esta providencia.</w:t>
      </w:r>
    </w:p>
    <w:p w14:paraId="27F2408B" w14:textId="77777777" w:rsidR="005B62E6" w:rsidRPr="00431D53" w:rsidRDefault="005B62E6" w:rsidP="00EF53B5">
      <w:pPr>
        <w:spacing w:line="360" w:lineRule="auto"/>
        <w:jc w:val="both"/>
        <w:rPr>
          <w:rFonts w:ascii="Arial" w:hAnsi="Arial" w:cs="Arial"/>
          <w:spacing w:val="-3"/>
          <w:sz w:val="24"/>
          <w:szCs w:val="24"/>
        </w:rPr>
      </w:pPr>
    </w:p>
    <w:p w14:paraId="13A2E5CC" w14:textId="77777777" w:rsidR="005B62E6" w:rsidRPr="00431D53" w:rsidRDefault="005B62E6" w:rsidP="005B62E6">
      <w:pPr>
        <w:spacing w:line="360" w:lineRule="auto"/>
        <w:jc w:val="both"/>
        <w:rPr>
          <w:rFonts w:ascii="Arial" w:hAnsi="Arial" w:cs="Arial"/>
          <w:sz w:val="24"/>
          <w:szCs w:val="24"/>
        </w:rPr>
      </w:pPr>
      <w:r w:rsidRPr="00431D53">
        <w:rPr>
          <w:rFonts w:ascii="Arial" w:eastAsia="Times New Roman" w:hAnsi="Arial" w:cs="Arial"/>
          <w:b/>
          <w:sz w:val="24"/>
          <w:szCs w:val="24"/>
          <w:lang w:eastAsia="es-CO"/>
        </w:rPr>
        <w:t>SEGUNDO:</w:t>
      </w:r>
      <w:r w:rsidRPr="00431D53">
        <w:rPr>
          <w:rFonts w:ascii="Arial" w:eastAsia="Times New Roman" w:hAnsi="Arial" w:cs="Arial"/>
          <w:sz w:val="24"/>
          <w:szCs w:val="24"/>
          <w:lang w:eastAsia="es-CO"/>
        </w:rPr>
        <w:t xml:space="preserve"> Por Secretaria, </w:t>
      </w:r>
      <w:r w:rsidRPr="00431D53">
        <w:rPr>
          <w:rFonts w:ascii="Arial" w:eastAsia="Times New Roman" w:hAnsi="Arial" w:cs="Arial"/>
          <w:b/>
          <w:sz w:val="24"/>
          <w:szCs w:val="24"/>
          <w:lang w:eastAsia="es-CO"/>
        </w:rPr>
        <w:t>comunicar</w:t>
      </w:r>
      <w:r w:rsidRPr="00431D53">
        <w:rPr>
          <w:rFonts w:ascii="Arial" w:eastAsia="Times New Roman" w:hAnsi="Arial" w:cs="Arial"/>
          <w:sz w:val="24"/>
          <w:szCs w:val="24"/>
          <w:lang w:eastAsia="es-CO"/>
        </w:rPr>
        <w:t xml:space="preserve"> al Consejero de Estado, doctor Oswaldo Giraldo López, esta providencia.</w:t>
      </w:r>
    </w:p>
    <w:p w14:paraId="6B5679A8" w14:textId="77777777" w:rsidR="005B62E6" w:rsidRPr="00431D53" w:rsidRDefault="005B62E6" w:rsidP="005B62E6">
      <w:pPr>
        <w:spacing w:line="360" w:lineRule="auto"/>
        <w:rPr>
          <w:rFonts w:ascii="Arial" w:eastAsia="Times New Roman" w:hAnsi="Arial" w:cs="Arial"/>
          <w:sz w:val="24"/>
          <w:szCs w:val="24"/>
          <w:lang w:eastAsia="es-CO"/>
        </w:rPr>
      </w:pPr>
    </w:p>
    <w:p w14:paraId="6F8604DC" w14:textId="77777777" w:rsidR="005B62E6" w:rsidRPr="00431D53" w:rsidRDefault="005B62E6" w:rsidP="005B62E6">
      <w:pPr>
        <w:spacing w:line="360" w:lineRule="auto"/>
        <w:rPr>
          <w:rFonts w:ascii="Arial" w:hAnsi="Arial" w:cs="Arial"/>
          <w:sz w:val="24"/>
          <w:szCs w:val="24"/>
          <w:lang w:eastAsia="es-CO"/>
        </w:rPr>
      </w:pPr>
      <w:r w:rsidRPr="00431D53">
        <w:rPr>
          <w:rFonts w:ascii="Arial" w:eastAsia="Times New Roman" w:hAnsi="Arial" w:cs="Arial"/>
          <w:b/>
          <w:sz w:val="24"/>
          <w:szCs w:val="24"/>
          <w:lang w:eastAsia="es-CO"/>
        </w:rPr>
        <w:t>NOTIFÍQUESE Y CÚMPLASE.</w:t>
      </w:r>
    </w:p>
    <w:p w14:paraId="03755C3E" w14:textId="77777777" w:rsidR="005B62E6" w:rsidRPr="00431D53" w:rsidRDefault="005B62E6" w:rsidP="00EF53B5">
      <w:pPr>
        <w:pStyle w:val="NoSpacing"/>
        <w:rPr>
          <w:rFonts w:ascii="Arial" w:hAnsi="Arial" w:cs="Arial"/>
          <w:sz w:val="24"/>
          <w:szCs w:val="24"/>
          <w:lang w:val="es-CO" w:eastAsia="es-CO"/>
        </w:rPr>
      </w:pPr>
    </w:p>
    <w:p w14:paraId="486074CA" w14:textId="77777777" w:rsidR="005B62E6" w:rsidRPr="00431D53" w:rsidRDefault="005B62E6" w:rsidP="00EF53B5">
      <w:pPr>
        <w:pStyle w:val="NoSpacing"/>
        <w:rPr>
          <w:rFonts w:ascii="Arial" w:hAnsi="Arial" w:cs="Arial"/>
          <w:sz w:val="24"/>
          <w:szCs w:val="24"/>
          <w:lang w:val="es-CO" w:eastAsia="es-CO"/>
        </w:rPr>
      </w:pPr>
    </w:p>
    <w:p w14:paraId="376D410D" w14:textId="77777777" w:rsidR="005B62E6" w:rsidRPr="00431D53" w:rsidRDefault="005B62E6" w:rsidP="005B62E6">
      <w:pPr>
        <w:pStyle w:val="NoSpacing"/>
        <w:tabs>
          <w:tab w:val="left" w:pos="1250"/>
        </w:tabs>
        <w:rPr>
          <w:rFonts w:ascii="Arial" w:hAnsi="Arial" w:cs="Arial"/>
          <w:sz w:val="24"/>
          <w:szCs w:val="24"/>
          <w:lang w:val="es-CO" w:eastAsia="es-CO"/>
        </w:rPr>
      </w:pPr>
    </w:p>
    <w:p w14:paraId="75655720" w14:textId="77777777" w:rsidR="005B62E6" w:rsidRPr="00431D53" w:rsidRDefault="005B62E6" w:rsidP="005B62E6">
      <w:pPr>
        <w:pStyle w:val="NoSpacing"/>
        <w:tabs>
          <w:tab w:val="left" w:pos="1250"/>
        </w:tabs>
        <w:rPr>
          <w:rFonts w:ascii="Arial" w:hAnsi="Arial" w:cs="Arial"/>
          <w:sz w:val="24"/>
          <w:szCs w:val="24"/>
          <w:lang w:val="es-CO" w:eastAsia="es-CO"/>
        </w:rPr>
      </w:pPr>
    </w:p>
    <w:p w14:paraId="4BCC6ACC" w14:textId="77777777" w:rsidR="005B62E6" w:rsidRPr="00431D53" w:rsidRDefault="005B62E6" w:rsidP="005B62E6">
      <w:pPr>
        <w:pStyle w:val="NoSpacing"/>
        <w:tabs>
          <w:tab w:val="left" w:pos="1250"/>
        </w:tabs>
        <w:rPr>
          <w:rFonts w:ascii="Arial" w:hAnsi="Arial" w:cs="Arial"/>
          <w:sz w:val="24"/>
          <w:szCs w:val="24"/>
          <w:lang w:val="es-CO" w:eastAsia="es-CO"/>
        </w:rPr>
      </w:pPr>
    </w:p>
    <w:p w14:paraId="7C29FDD4" w14:textId="77777777" w:rsidR="005B62E6" w:rsidRPr="00431D53" w:rsidRDefault="005B62E6" w:rsidP="005B62E6">
      <w:pPr>
        <w:pStyle w:val="NoSpacing"/>
        <w:jc w:val="center"/>
        <w:rPr>
          <w:rFonts w:ascii="Arial" w:hAnsi="Arial" w:cs="Arial"/>
          <w:b/>
          <w:sz w:val="24"/>
          <w:szCs w:val="24"/>
          <w:lang w:val="es-CO" w:eastAsia="es-CO"/>
        </w:rPr>
      </w:pPr>
      <w:r w:rsidRPr="00431D53">
        <w:rPr>
          <w:rFonts w:ascii="Arial" w:hAnsi="Arial" w:cs="Arial"/>
          <w:b/>
          <w:sz w:val="24"/>
          <w:szCs w:val="24"/>
          <w:lang w:val="es-CO" w:eastAsia="es-CO"/>
        </w:rPr>
        <w:t>HERNANDO SÁNCHEZ SÁNCHEZ</w:t>
      </w:r>
    </w:p>
    <w:p w14:paraId="71FBB988" w14:textId="77777777" w:rsidR="005B62E6" w:rsidRPr="001460E8" w:rsidRDefault="005B62E6" w:rsidP="005B62E6">
      <w:pPr>
        <w:pStyle w:val="NoSpacing"/>
        <w:jc w:val="center"/>
        <w:rPr>
          <w:rFonts w:ascii="Arial" w:hAnsi="Arial" w:cs="Arial"/>
          <w:sz w:val="24"/>
          <w:szCs w:val="24"/>
          <w:lang w:val="es-CO" w:eastAsia="es-CO"/>
        </w:rPr>
      </w:pPr>
      <w:r w:rsidRPr="00431D53">
        <w:rPr>
          <w:rFonts w:ascii="Arial" w:hAnsi="Arial" w:cs="Arial"/>
          <w:sz w:val="24"/>
          <w:szCs w:val="24"/>
          <w:lang w:val="es-CO" w:eastAsia="es-CO"/>
        </w:rPr>
        <w:t>Consejero de Estado</w:t>
      </w:r>
    </w:p>
    <w:p w14:paraId="610978A3" w14:textId="77777777" w:rsidR="00D0748E" w:rsidRPr="001460E8" w:rsidRDefault="00D0748E" w:rsidP="00D0748E">
      <w:pPr>
        <w:rPr>
          <w:rFonts w:ascii="Arial" w:hAnsi="Arial" w:cs="Arial"/>
          <w:sz w:val="24"/>
          <w:szCs w:val="24"/>
        </w:rPr>
      </w:pPr>
    </w:p>
    <w:p w14:paraId="4365E426" w14:textId="77777777" w:rsidR="00FC67CF" w:rsidRPr="001460E8" w:rsidRDefault="00FC67CF">
      <w:pPr>
        <w:rPr>
          <w:rFonts w:ascii="Arial" w:hAnsi="Arial" w:cs="Arial"/>
          <w:sz w:val="24"/>
          <w:szCs w:val="24"/>
        </w:rPr>
      </w:pPr>
    </w:p>
    <w:sectPr w:rsidR="00FC67CF" w:rsidRPr="001460E8" w:rsidSect="001460E8">
      <w:pgSz w:w="12240" w:h="18720" w:code="14"/>
      <w:pgMar w:top="1701" w:right="1701" w:bottom="1701" w:left="1701" w:header="0" w:footer="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7829A" w14:textId="77777777" w:rsidR="00BE73D9" w:rsidRDefault="00BE73D9" w:rsidP="005B62E6">
      <w:r>
        <w:separator/>
      </w:r>
    </w:p>
  </w:endnote>
  <w:endnote w:type="continuationSeparator" w:id="0">
    <w:p w14:paraId="064ABA67" w14:textId="77777777" w:rsidR="00BE73D9" w:rsidRDefault="00BE73D9" w:rsidP="005B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E64F7" w14:textId="77777777" w:rsidR="00BE73D9" w:rsidRDefault="00BE73D9" w:rsidP="005B62E6">
      <w:r>
        <w:separator/>
      </w:r>
    </w:p>
  </w:footnote>
  <w:footnote w:type="continuationSeparator" w:id="0">
    <w:p w14:paraId="1E3CD4AA" w14:textId="77777777" w:rsidR="00BE73D9" w:rsidRDefault="00BE73D9" w:rsidP="005B62E6">
      <w:r>
        <w:continuationSeparator/>
      </w:r>
    </w:p>
  </w:footnote>
  <w:footnote w:id="1">
    <w:p w14:paraId="13660647" w14:textId="77777777" w:rsidR="001460E8" w:rsidRPr="00431D53" w:rsidRDefault="001460E8" w:rsidP="001460E8">
      <w:pPr>
        <w:pStyle w:val="FootnoteText"/>
        <w:jc w:val="both"/>
        <w:rPr>
          <w:rFonts w:ascii="Arial" w:hAnsi="Arial" w:cs="Arial"/>
          <w:szCs w:val="24"/>
          <w:lang w:val="es-CO"/>
        </w:rPr>
      </w:pPr>
      <w:r w:rsidRPr="00431D53">
        <w:rPr>
          <w:rStyle w:val="FootnoteReference"/>
          <w:rFonts w:ascii="Arial" w:hAnsi="Arial" w:cs="Arial"/>
          <w:szCs w:val="24"/>
          <w:lang w:val="es-CO"/>
        </w:rPr>
        <w:footnoteRef/>
      </w:r>
      <w:r w:rsidRPr="00431D53">
        <w:rPr>
          <w:rFonts w:ascii="Arial" w:hAnsi="Arial" w:cs="Arial"/>
          <w:szCs w:val="24"/>
          <w:lang w:val="es-CO"/>
        </w:rPr>
        <w:t xml:space="preserve"> De conformidad con el artículo 1º del Decreto 1260 de 2013, la Comisión de Regulación de Energía y Gas (CREG), es una Unidad Administrativa Especial, con autonomía administrativa, técnica y financiera, sin personería jurídica, adscrita al</w:t>
      </w:r>
      <w:r w:rsidR="00EF53B5" w:rsidRPr="00431D53">
        <w:rPr>
          <w:rFonts w:ascii="Arial" w:hAnsi="Arial" w:cs="Arial"/>
          <w:szCs w:val="24"/>
          <w:lang w:val="es-CO"/>
        </w:rPr>
        <w:t xml:space="preserve"> Ministerio de Minas y Energía.</w:t>
      </w:r>
    </w:p>
  </w:footnote>
  <w:footnote w:id="2">
    <w:p w14:paraId="4C0B8B30" w14:textId="77777777" w:rsidR="005B62E6" w:rsidRPr="00431D53" w:rsidRDefault="005B62E6" w:rsidP="005B62E6">
      <w:pPr>
        <w:pStyle w:val="FootnoteText"/>
        <w:jc w:val="both"/>
        <w:rPr>
          <w:rFonts w:ascii="Arial" w:hAnsi="Arial" w:cs="Arial"/>
          <w:szCs w:val="24"/>
          <w:lang w:val="es-CO"/>
        </w:rPr>
      </w:pPr>
      <w:r w:rsidRPr="00431D53">
        <w:rPr>
          <w:rStyle w:val="FootnoteReference"/>
          <w:rFonts w:ascii="Arial" w:hAnsi="Arial" w:cs="Arial"/>
          <w:szCs w:val="24"/>
          <w:lang w:val="es-CO"/>
        </w:rPr>
        <w:footnoteRef/>
      </w:r>
      <w:r w:rsidRPr="00431D53">
        <w:rPr>
          <w:rFonts w:ascii="Arial" w:hAnsi="Arial" w:cs="Arial"/>
          <w:szCs w:val="24"/>
          <w:lang w:val="es-CO"/>
        </w:rPr>
        <w:t xml:space="preserve"> </w:t>
      </w:r>
      <w:r w:rsidRPr="00431D53">
        <w:rPr>
          <w:rFonts w:ascii="Arial" w:hAnsi="Arial" w:cs="Arial"/>
          <w:szCs w:val="24"/>
          <w:lang w:val="es-CO"/>
        </w:rPr>
        <w:t xml:space="preserve">Inicialmente la demanda fue presentada en ejercicio de la acción de nulidad, sin embargo, el Despacho Sustanciador mediante providencia proferida el 3 de noviembre de 2010 (Cfr. folios 69 a 72 del cuaderno núm.1 del expediente), ordenó su adecuación a los presupuestos de la acción de nulidad </w:t>
      </w:r>
      <w:r w:rsidR="00EF53B5" w:rsidRPr="00431D53">
        <w:rPr>
          <w:rFonts w:ascii="Arial" w:hAnsi="Arial" w:cs="Arial"/>
          <w:szCs w:val="24"/>
          <w:lang w:val="es-CO"/>
        </w:rPr>
        <w:t>y restablecimiento del derecho.</w:t>
      </w:r>
    </w:p>
  </w:footnote>
  <w:footnote w:id="3">
    <w:p w14:paraId="71E78F85" w14:textId="77777777" w:rsidR="005B62E6" w:rsidRPr="00431D53" w:rsidRDefault="005B62E6" w:rsidP="005B62E6">
      <w:pPr>
        <w:pStyle w:val="FootnoteText"/>
        <w:jc w:val="both"/>
        <w:rPr>
          <w:rFonts w:ascii="Arial" w:hAnsi="Arial" w:cs="Arial"/>
          <w:szCs w:val="24"/>
          <w:lang w:val="es-CO"/>
        </w:rPr>
      </w:pPr>
      <w:r w:rsidRPr="00431D53">
        <w:rPr>
          <w:rStyle w:val="FootnoteReference"/>
          <w:rFonts w:ascii="Arial" w:hAnsi="Arial" w:cs="Arial"/>
          <w:szCs w:val="24"/>
          <w:lang w:val="es-CO"/>
        </w:rPr>
        <w:footnoteRef/>
      </w:r>
      <w:r w:rsidRPr="00431D53">
        <w:rPr>
          <w:rFonts w:ascii="Arial" w:hAnsi="Arial" w:cs="Arial"/>
          <w:szCs w:val="24"/>
          <w:lang w:val="es-CO"/>
        </w:rPr>
        <w:t xml:space="preserve"> </w:t>
      </w:r>
      <w:r w:rsidRPr="00431D53">
        <w:rPr>
          <w:rFonts w:ascii="Arial" w:hAnsi="Arial" w:cs="Arial"/>
          <w:i/>
          <w:szCs w:val="24"/>
          <w:lang w:val="es-CO"/>
        </w:rPr>
        <w:t xml:space="preserve">“[…] </w:t>
      </w:r>
      <w:r w:rsidRPr="00431D53">
        <w:rPr>
          <w:rFonts w:ascii="Arial" w:hAnsi="Arial" w:cs="Arial"/>
          <w:i/>
          <w:szCs w:val="24"/>
          <w:lang w:val="es-CO"/>
        </w:rPr>
        <w:t>Por el cual se reforma el Código C</w:t>
      </w:r>
      <w:r w:rsidR="00EF53B5" w:rsidRPr="00431D53">
        <w:rPr>
          <w:rFonts w:ascii="Arial" w:hAnsi="Arial" w:cs="Arial"/>
          <w:i/>
          <w:szCs w:val="24"/>
          <w:lang w:val="es-CO"/>
        </w:rPr>
        <w:t>ontencioso Administrativo […]”.</w:t>
      </w:r>
    </w:p>
  </w:footnote>
  <w:footnote w:id="4">
    <w:p w14:paraId="5B79CE69" w14:textId="77777777" w:rsidR="005B62E6" w:rsidRPr="00431D53" w:rsidRDefault="005B62E6" w:rsidP="005B62E6">
      <w:pPr>
        <w:pStyle w:val="FootnoteText"/>
        <w:jc w:val="both"/>
        <w:rPr>
          <w:rFonts w:ascii="Arial" w:hAnsi="Arial" w:cs="Arial"/>
          <w:szCs w:val="24"/>
          <w:lang w:val="es-CO"/>
        </w:rPr>
      </w:pPr>
      <w:r w:rsidRPr="00431D53">
        <w:rPr>
          <w:rStyle w:val="FootnoteReference"/>
          <w:rFonts w:ascii="Arial" w:hAnsi="Arial" w:cs="Arial"/>
          <w:szCs w:val="24"/>
          <w:lang w:val="es-CO"/>
        </w:rPr>
        <w:footnoteRef/>
      </w:r>
      <w:r w:rsidRPr="00431D53">
        <w:rPr>
          <w:rFonts w:ascii="Arial" w:hAnsi="Arial" w:cs="Arial"/>
          <w:szCs w:val="24"/>
          <w:lang w:val="es-CO"/>
        </w:rPr>
        <w:t xml:space="preserve"> </w:t>
      </w:r>
      <w:r w:rsidRPr="00431D53">
        <w:rPr>
          <w:rFonts w:ascii="Arial" w:hAnsi="Arial" w:cs="Arial"/>
          <w:szCs w:val="24"/>
          <w:lang w:val="es-CO"/>
        </w:rPr>
        <w:t xml:space="preserve">Cfr. folios 4 a 22 del </w:t>
      </w:r>
      <w:r w:rsidR="00EF53B5" w:rsidRPr="00431D53">
        <w:rPr>
          <w:rFonts w:ascii="Arial" w:hAnsi="Arial" w:cs="Arial"/>
          <w:szCs w:val="24"/>
          <w:lang w:val="es-CO"/>
        </w:rPr>
        <w:t>cuaderno núm. 1 del expediente.</w:t>
      </w:r>
    </w:p>
  </w:footnote>
  <w:footnote w:id="5">
    <w:p w14:paraId="6AF07DF7" w14:textId="77777777" w:rsidR="005B62E6" w:rsidRPr="00431D53" w:rsidRDefault="005B62E6" w:rsidP="005B62E6">
      <w:pPr>
        <w:pStyle w:val="FootnoteText"/>
        <w:jc w:val="both"/>
        <w:rPr>
          <w:rFonts w:ascii="Arial" w:hAnsi="Arial" w:cs="Arial"/>
          <w:szCs w:val="24"/>
          <w:lang w:val="es-CO"/>
        </w:rPr>
      </w:pPr>
      <w:r w:rsidRPr="00431D53">
        <w:rPr>
          <w:rStyle w:val="FootnoteReference"/>
          <w:rFonts w:ascii="Arial" w:hAnsi="Arial" w:cs="Arial"/>
          <w:szCs w:val="24"/>
          <w:lang w:val="es-CO"/>
        </w:rPr>
        <w:footnoteRef/>
      </w:r>
      <w:r w:rsidRPr="00431D53">
        <w:rPr>
          <w:rFonts w:ascii="Arial" w:hAnsi="Arial" w:cs="Arial"/>
          <w:szCs w:val="24"/>
          <w:lang w:val="es-CO"/>
        </w:rPr>
        <w:t xml:space="preserve"> </w:t>
      </w:r>
      <w:r w:rsidRPr="00431D53">
        <w:rPr>
          <w:rFonts w:ascii="Arial" w:hAnsi="Arial" w:cs="Arial"/>
          <w:szCs w:val="24"/>
          <w:lang w:val="es-CO"/>
        </w:rPr>
        <w:t xml:space="preserve">De conformidad con el Decreto 1260 de 17 de junio de 2013, la Comisión de Regulación de Energía y Gas, estará integrada por: i) el Ministro de Minas y Energía, quien la presidirá. ii) El Ministro de Hacienda y Crédito Público. iii) El Director del Departamento Nacional de Planeación. iv) Ocho expertos comisionados de dedicación exclusiva, designados por el Presidente de la República. </w:t>
      </w:r>
    </w:p>
  </w:footnote>
  <w:footnote w:id="6">
    <w:p w14:paraId="271D552F" w14:textId="77777777" w:rsidR="005B62E6" w:rsidRPr="00431D53" w:rsidRDefault="005B62E6" w:rsidP="005B62E6">
      <w:pPr>
        <w:pStyle w:val="FootnoteText"/>
        <w:jc w:val="both"/>
        <w:rPr>
          <w:rFonts w:ascii="Arial" w:hAnsi="Arial" w:cs="Arial"/>
          <w:szCs w:val="24"/>
          <w:lang w:val="es-CO"/>
        </w:rPr>
      </w:pPr>
      <w:r w:rsidRPr="00431D53">
        <w:rPr>
          <w:rStyle w:val="FootnoteReference"/>
          <w:rFonts w:ascii="Arial" w:hAnsi="Arial" w:cs="Arial"/>
          <w:szCs w:val="24"/>
          <w:lang w:val="es-CO"/>
        </w:rPr>
        <w:footnoteRef/>
      </w:r>
      <w:r w:rsidRPr="00431D53">
        <w:rPr>
          <w:rFonts w:ascii="Arial" w:hAnsi="Arial" w:cs="Arial"/>
          <w:szCs w:val="24"/>
          <w:lang w:val="es-CO"/>
        </w:rPr>
        <w:t xml:space="preserve"> </w:t>
      </w:r>
      <w:r w:rsidRPr="00431D53">
        <w:rPr>
          <w:rFonts w:ascii="Arial" w:hAnsi="Arial" w:cs="Arial"/>
          <w:szCs w:val="24"/>
          <w:lang w:val="es-CO"/>
        </w:rPr>
        <w:t xml:space="preserve">Cfr. folios 23 a 28 del </w:t>
      </w:r>
      <w:r w:rsidR="00EF53B5" w:rsidRPr="00431D53">
        <w:rPr>
          <w:rFonts w:ascii="Arial" w:hAnsi="Arial" w:cs="Arial"/>
          <w:szCs w:val="24"/>
          <w:lang w:val="es-CO"/>
        </w:rPr>
        <w:t>cuaderno núm. 1 del expediente.</w:t>
      </w:r>
    </w:p>
  </w:footnote>
  <w:footnote w:id="7">
    <w:p w14:paraId="2B59A7A5" w14:textId="77777777" w:rsidR="005B62E6" w:rsidRPr="00431D53" w:rsidRDefault="005B62E6" w:rsidP="005B62E6">
      <w:pPr>
        <w:pStyle w:val="FootnoteText"/>
        <w:jc w:val="both"/>
        <w:rPr>
          <w:rFonts w:ascii="Arial" w:hAnsi="Arial" w:cs="Arial"/>
          <w:szCs w:val="24"/>
          <w:lang w:val="es-CO"/>
        </w:rPr>
      </w:pPr>
      <w:r w:rsidRPr="00431D53">
        <w:rPr>
          <w:rStyle w:val="FootnoteReference"/>
          <w:rFonts w:ascii="Arial" w:hAnsi="Arial" w:cs="Arial"/>
          <w:szCs w:val="24"/>
          <w:lang w:val="es-CO"/>
        </w:rPr>
        <w:footnoteRef/>
      </w:r>
      <w:r w:rsidRPr="00431D53">
        <w:rPr>
          <w:rFonts w:ascii="Arial" w:hAnsi="Arial" w:cs="Arial"/>
          <w:szCs w:val="24"/>
          <w:lang w:val="es-CO"/>
        </w:rPr>
        <w:t xml:space="preserve"> </w:t>
      </w:r>
      <w:r w:rsidRPr="00431D53">
        <w:rPr>
          <w:rFonts w:ascii="Arial" w:hAnsi="Arial" w:cs="Arial"/>
          <w:szCs w:val="24"/>
          <w:lang w:val="es-CO"/>
        </w:rPr>
        <w:t xml:space="preserve">Cfr. folios 29 a 31 del </w:t>
      </w:r>
      <w:r w:rsidR="00EF53B5" w:rsidRPr="00431D53">
        <w:rPr>
          <w:rFonts w:ascii="Arial" w:hAnsi="Arial" w:cs="Arial"/>
          <w:szCs w:val="24"/>
          <w:lang w:val="es-CO"/>
        </w:rPr>
        <w:t>cuaderno núm. 1 del expediente.</w:t>
      </w:r>
    </w:p>
  </w:footnote>
  <w:footnote w:id="8">
    <w:p w14:paraId="298127EE" w14:textId="77777777" w:rsidR="005B62E6" w:rsidRPr="00431D53" w:rsidRDefault="005B62E6" w:rsidP="005B62E6">
      <w:pPr>
        <w:pStyle w:val="FootnoteText"/>
        <w:jc w:val="both"/>
        <w:rPr>
          <w:rFonts w:ascii="Arial" w:hAnsi="Arial" w:cs="Arial"/>
          <w:szCs w:val="24"/>
          <w:lang w:val="es-CO"/>
        </w:rPr>
      </w:pPr>
      <w:r w:rsidRPr="00431D53">
        <w:rPr>
          <w:rStyle w:val="FootnoteReference"/>
          <w:rFonts w:ascii="Arial" w:hAnsi="Arial" w:cs="Arial"/>
          <w:szCs w:val="24"/>
          <w:lang w:val="es-CO"/>
        </w:rPr>
        <w:footnoteRef/>
      </w:r>
      <w:r w:rsidRPr="00431D53">
        <w:rPr>
          <w:rFonts w:ascii="Arial" w:hAnsi="Arial" w:cs="Arial"/>
          <w:szCs w:val="24"/>
          <w:lang w:val="es-CO"/>
        </w:rPr>
        <w:t xml:space="preserve"> </w:t>
      </w:r>
      <w:r w:rsidRPr="00431D53">
        <w:rPr>
          <w:rFonts w:ascii="Arial" w:hAnsi="Arial" w:cs="Arial"/>
          <w:szCs w:val="24"/>
          <w:lang w:val="es-CO"/>
        </w:rPr>
        <w:t xml:space="preserve">Cfr. folio 101 del </w:t>
      </w:r>
      <w:r w:rsidR="00EF53B5" w:rsidRPr="00431D53">
        <w:rPr>
          <w:rFonts w:ascii="Arial" w:hAnsi="Arial" w:cs="Arial"/>
          <w:szCs w:val="24"/>
          <w:lang w:val="es-CO"/>
        </w:rPr>
        <w:t>cuaderno núm. 1 del expediente.</w:t>
      </w:r>
    </w:p>
  </w:footnote>
  <w:footnote w:id="9">
    <w:p w14:paraId="5AE597C5" w14:textId="77777777" w:rsidR="005B62E6" w:rsidRPr="00431D53" w:rsidRDefault="005B62E6" w:rsidP="005B62E6">
      <w:pPr>
        <w:pStyle w:val="FootnoteText"/>
        <w:jc w:val="both"/>
        <w:rPr>
          <w:rFonts w:ascii="Arial" w:hAnsi="Arial" w:cs="Arial"/>
          <w:szCs w:val="24"/>
          <w:lang w:val="es-CO"/>
        </w:rPr>
      </w:pPr>
      <w:r w:rsidRPr="00431D53">
        <w:rPr>
          <w:rStyle w:val="FootnoteReference"/>
          <w:rFonts w:ascii="Arial" w:hAnsi="Arial" w:cs="Arial"/>
          <w:szCs w:val="24"/>
          <w:lang w:val="es-CO"/>
        </w:rPr>
        <w:footnoteRef/>
      </w:r>
      <w:r w:rsidRPr="00431D53">
        <w:rPr>
          <w:rFonts w:ascii="Arial" w:hAnsi="Arial" w:cs="Arial"/>
          <w:szCs w:val="24"/>
          <w:lang w:val="es-CO"/>
        </w:rPr>
        <w:t xml:space="preserve"> </w:t>
      </w:r>
      <w:r w:rsidRPr="00431D53">
        <w:rPr>
          <w:rFonts w:ascii="Arial" w:hAnsi="Arial" w:cs="Arial"/>
          <w:szCs w:val="24"/>
          <w:lang w:val="es-CO"/>
        </w:rPr>
        <w:t xml:space="preserve">Cfr. folios 143 a 151 del </w:t>
      </w:r>
      <w:r w:rsidR="00EF53B5" w:rsidRPr="00431D53">
        <w:rPr>
          <w:rFonts w:ascii="Arial" w:hAnsi="Arial" w:cs="Arial"/>
          <w:szCs w:val="24"/>
          <w:lang w:val="es-CO"/>
        </w:rPr>
        <w:t>cuaderno núm. 1 del expediente.</w:t>
      </w:r>
    </w:p>
  </w:footnote>
  <w:footnote w:id="10">
    <w:p w14:paraId="34FC5741" w14:textId="77777777" w:rsidR="005B62E6" w:rsidRPr="00431D53" w:rsidRDefault="005B62E6" w:rsidP="005B62E6">
      <w:pPr>
        <w:pStyle w:val="FootnoteText"/>
        <w:jc w:val="both"/>
        <w:rPr>
          <w:rFonts w:ascii="Arial" w:hAnsi="Arial" w:cs="Arial"/>
          <w:szCs w:val="24"/>
          <w:lang w:val="es-CO"/>
        </w:rPr>
      </w:pPr>
      <w:r w:rsidRPr="00431D53">
        <w:rPr>
          <w:rStyle w:val="FootnoteReference"/>
          <w:rFonts w:ascii="Arial" w:hAnsi="Arial" w:cs="Arial"/>
          <w:szCs w:val="24"/>
          <w:lang w:val="es-CO"/>
        </w:rPr>
        <w:footnoteRef/>
      </w:r>
      <w:r w:rsidRPr="00431D53">
        <w:rPr>
          <w:rFonts w:ascii="Arial" w:hAnsi="Arial" w:cs="Arial"/>
          <w:szCs w:val="24"/>
          <w:lang w:val="es-CO"/>
        </w:rPr>
        <w:t xml:space="preserve"> Cfr. folio 349 del </w:t>
      </w:r>
      <w:r w:rsidR="00EF53B5" w:rsidRPr="00431D53">
        <w:rPr>
          <w:rFonts w:ascii="Arial" w:hAnsi="Arial" w:cs="Arial"/>
          <w:szCs w:val="24"/>
          <w:lang w:val="es-CO"/>
        </w:rPr>
        <w:t>cuaderno núm. 1 del expediente.</w:t>
      </w:r>
    </w:p>
  </w:footnote>
  <w:footnote w:id="11">
    <w:p w14:paraId="4FAC27A9" w14:textId="77777777" w:rsidR="005B62E6" w:rsidRPr="00431D53" w:rsidRDefault="005B62E6" w:rsidP="005B62E6">
      <w:pPr>
        <w:pStyle w:val="FootnoteText"/>
        <w:jc w:val="both"/>
        <w:rPr>
          <w:rFonts w:ascii="Arial" w:hAnsi="Arial" w:cs="Arial"/>
          <w:szCs w:val="24"/>
          <w:lang w:val="es-CO"/>
        </w:rPr>
      </w:pPr>
      <w:r w:rsidRPr="00431D53">
        <w:rPr>
          <w:rStyle w:val="FootnoteReference"/>
          <w:rFonts w:ascii="Arial" w:hAnsi="Arial" w:cs="Arial"/>
          <w:szCs w:val="24"/>
          <w:lang w:val="es-CO"/>
        </w:rPr>
        <w:footnoteRef/>
      </w:r>
      <w:r w:rsidRPr="00431D53">
        <w:rPr>
          <w:rFonts w:ascii="Arial" w:hAnsi="Arial" w:cs="Arial"/>
          <w:szCs w:val="24"/>
          <w:lang w:val="es-CO"/>
        </w:rPr>
        <w:t xml:space="preserve"> </w:t>
      </w:r>
      <w:r w:rsidRPr="00431D53">
        <w:rPr>
          <w:rFonts w:ascii="Arial" w:hAnsi="Arial" w:cs="Arial"/>
          <w:i/>
          <w:szCs w:val="24"/>
          <w:lang w:val="es-CO"/>
        </w:rPr>
        <w:t>“[…] Artículo 160. Serán causales de recusación e impedimento para los consejeros, magistrados y jueces administrativos, además de las señaladas en el artículo 150 del Código de Procedimiento Civil, las siguientes:  1. Haber participado en la expedición del acto enjuiciado, en la formación o celebración del contrato, o en la ejecución del hecho u operación administrativa materia de la controversia. 2. Haber conceptuado sobre el acto que se acusa, o sobre el contrato objeto del litigio. […]</w:t>
      </w:r>
    </w:p>
  </w:footnote>
  <w:footnote w:id="12">
    <w:p w14:paraId="1A7A7070" w14:textId="77777777" w:rsidR="005B62E6" w:rsidRPr="00431D53" w:rsidRDefault="005B62E6" w:rsidP="005B62E6">
      <w:pPr>
        <w:pStyle w:val="FootnoteText"/>
        <w:jc w:val="both"/>
        <w:rPr>
          <w:rFonts w:ascii="Arial" w:hAnsi="Arial" w:cs="Arial"/>
          <w:szCs w:val="24"/>
          <w:lang w:val="es-CO"/>
        </w:rPr>
      </w:pPr>
      <w:r w:rsidRPr="00431D53">
        <w:rPr>
          <w:rStyle w:val="FootnoteReference"/>
          <w:rFonts w:ascii="Arial" w:hAnsi="Arial" w:cs="Arial"/>
          <w:szCs w:val="24"/>
          <w:lang w:val="es-CO"/>
        </w:rPr>
        <w:footnoteRef/>
      </w:r>
      <w:r w:rsidRPr="00431D53">
        <w:rPr>
          <w:rFonts w:ascii="Arial" w:hAnsi="Arial" w:cs="Arial"/>
          <w:szCs w:val="24"/>
          <w:lang w:val="es-CO"/>
        </w:rPr>
        <w:t xml:space="preserve"> </w:t>
      </w:r>
      <w:r w:rsidRPr="00431D53">
        <w:rPr>
          <w:rFonts w:ascii="Arial" w:hAnsi="Arial" w:cs="Arial"/>
          <w:i/>
          <w:szCs w:val="24"/>
          <w:lang w:val="es-CO"/>
        </w:rPr>
        <w:t>“[…] Artículo 160A.</w:t>
      </w:r>
      <w:r w:rsidRPr="00431D53">
        <w:rPr>
          <w:rFonts w:ascii="Arial" w:hAnsi="Arial" w:cs="Arial"/>
          <w:szCs w:val="24"/>
          <w:lang w:val="es-CO"/>
        </w:rPr>
        <w:t xml:space="preserve"> </w:t>
      </w:r>
      <w:r w:rsidRPr="00431D53">
        <w:rPr>
          <w:rFonts w:ascii="Arial" w:hAnsi="Arial" w:cs="Arial"/>
          <w:i/>
          <w:szCs w:val="24"/>
          <w:lang w:val="es-CO"/>
        </w:rPr>
        <w:t>Para el trámite de los impedimentos se seguirán las siguientes reglas: […] 2. Cuando en un consejero o magistrado concurra alguna de las causales señaladas en este artículo, deberá declararse impedido en escrito dirigido al ponente, o a quien le siga en turno si el impedido es éste, expresando los hechos en que se fundamenta tan pronto como advierta su existencia, para que la Sala. sección o subsección resuelva de plano sobre la legalidad del impedimento. Si lo encuentra fundado, lo aceptará y sólo ordenará sorteo de conjuez cuando se afecte el quórum decisorio. […]”</w:t>
      </w:r>
    </w:p>
  </w:footnote>
  <w:footnote w:id="13">
    <w:p w14:paraId="66383DB2" w14:textId="77777777" w:rsidR="005B62E6" w:rsidRPr="00431D53" w:rsidRDefault="005B62E6" w:rsidP="005B62E6">
      <w:pPr>
        <w:pStyle w:val="FootnoteText"/>
        <w:jc w:val="both"/>
        <w:rPr>
          <w:rFonts w:ascii="Arial" w:hAnsi="Arial" w:cs="Arial"/>
          <w:szCs w:val="24"/>
          <w:lang w:val="es-CO"/>
        </w:rPr>
      </w:pPr>
      <w:r w:rsidRPr="00431D53">
        <w:rPr>
          <w:rStyle w:val="FootnoteReference"/>
          <w:rFonts w:ascii="Arial" w:hAnsi="Arial" w:cs="Arial"/>
          <w:szCs w:val="24"/>
          <w:lang w:val="es-CO"/>
        </w:rPr>
        <w:footnoteRef/>
      </w:r>
      <w:r w:rsidRPr="00431D53">
        <w:rPr>
          <w:rFonts w:ascii="Arial" w:hAnsi="Arial" w:cs="Arial"/>
          <w:szCs w:val="24"/>
          <w:lang w:val="es-CO"/>
        </w:rPr>
        <w:t xml:space="preserve"> Aplicable al presente caso teniendo en cuenta que la demanda fue presentada el 6 de septiembre de 2010 (cfr. folio 68 del cuaderno núm.1 del expediente), y conforme con lo establecido en el artículo 308 de la Ley 1437 de 18 de enero de 2011 </w:t>
      </w:r>
      <w:r w:rsidRPr="00431D53">
        <w:rPr>
          <w:rFonts w:ascii="Arial" w:hAnsi="Arial" w:cs="Arial"/>
          <w:i/>
          <w:szCs w:val="24"/>
          <w:lang w:val="es-CO"/>
        </w:rPr>
        <w:t>“[…] Por la cual se expide el Código de Procedimiento Administrativo y de lo Contencioso Administrativo […]”,</w:t>
      </w:r>
      <w:r w:rsidRPr="00431D53">
        <w:rPr>
          <w:rFonts w:ascii="Arial" w:hAnsi="Arial" w:cs="Arial"/>
          <w:szCs w:val="24"/>
          <w:lang w:val="es-CO"/>
        </w:rPr>
        <w:t xml:space="preserve"> que establece, </w:t>
      </w:r>
      <w:r w:rsidRPr="00431D53">
        <w:rPr>
          <w:rFonts w:ascii="Arial" w:hAnsi="Arial" w:cs="Arial"/>
          <w:i/>
          <w:szCs w:val="24"/>
          <w:lang w:val="es-CO"/>
        </w:rPr>
        <w:t xml:space="preserve">“[…] artículo 308. Régimen de transición y vigencia. El presente Código comenzará a regir el dos (2) de julio del año 2012. […] </w:t>
      </w:r>
      <w:r w:rsidRPr="00431D53">
        <w:rPr>
          <w:rFonts w:ascii="Arial" w:hAnsi="Arial" w:cs="Arial"/>
          <w:b/>
          <w:i/>
          <w:szCs w:val="24"/>
          <w:lang w:val="es-CO"/>
        </w:rPr>
        <w:t>Los procedimientos y actuaciones administrativas, así como las demandas y procesos en curso a la vigencia de la presente ley seguirán rigiéndose y culminarán de conformidad con el régimen jurídico anterior</w:t>
      </w:r>
      <w:r w:rsidRPr="00431D53">
        <w:rPr>
          <w:rFonts w:ascii="Arial" w:hAnsi="Arial" w:cs="Arial"/>
          <w:i/>
          <w:szCs w:val="24"/>
          <w:lang w:val="es-CO"/>
        </w:rPr>
        <w:t xml:space="preserve">. […]” </w:t>
      </w:r>
      <w:r w:rsidRPr="00431D53">
        <w:rPr>
          <w:rFonts w:ascii="Arial" w:hAnsi="Arial" w:cs="Arial"/>
          <w:szCs w:val="24"/>
          <w:lang w:val="es-CO"/>
        </w:rPr>
        <w:t>(Destaca el Despacho).</w:t>
      </w:r>
    </w:p>
  </w:footnote>
  <w:footnote w:id="14">
    <w:p w14:paraId="16A3BAAC" w14:textId="77777777" w:rsidR="005B62E6" w:rsidRPr="00431D53" w:rsidRDefault="005B62E6" w:rsidP="005B62E6">
      <w:pPr>
        <w:pStyle w:val="FootnoteText"/>
        <w:jc w:val="both"/>
        <w:rPr>
          <w:rFonts w:ascii="Arial" w:hAnsi="Arial" w:cs="Arial"/>
          <w:szCs w:val="24"/>
          <w:lang w:val="es-CO"/>
        </w:rPr>
      </w:pPr>
      <w:r w:rsidRPr="00431D53">
        <w:rPr>
          <w:rStyle w:val="FootnoteReference"/>
          <w:rFonts w:ascii="Arial" w:hAnsi="Arial" w:cs="Arial"/>
          <w:szCs w:val="24"/>
          <w:lang w:val="es-CO"/>
        </w:rPr>
        <w:footnoteRef/>
      </w:r>
      <w:r w:rsidRPr="00431D53">
        <w:rPr>
          <w:rFonts w:ascii="Arial" w:hAnsi="Arial" w:cs="Arial"/>
          <w:szCs w:val="24"/>
          <w:lang w:val="es-CO"/>
        </w:rPr>
        <w:t xml:space="preserve"> La Sala Plena de lo Contencioso Administrativo del Consejo de Estado, en sesión del día 15 de septiembre de 2015, al estudiar los impedimentos manifestados dentro de los expedientes radicados bajo los números. 2011-01530-00 (Consejera Ponente doctora Martha Teresa Briceño) y 2006-00821-00 (Consejero Ponente doctor Gustavo Arenas Monsalve), decidió que, en materia de impedimentos, los mismos serán resueltos: i) en </w:t>
      </w:r>
      <w:r w:rsidRPr="00431D53">
        <w:rPr>
          <w:rFonts w:ascii="Arial" w:hAnsi="Arial" w:cs="Arial"/>
          <w:b/>
          <w:szCs w:val="24"/>
          <w:lang w:val="es-CO"/>
        </w:rPr>
        <w:t>Sala Unitaria</w:t>
      </w:r>
      <w:r w:rsidRPr="00431D53">
        <w:rPr>
          <w:rFonts w:ascii="Arial" w:hAnsi="Arial" w:cs="Arial"/>
          <w:szCs w:val="24"/>
          <w:lang w:val="es-CO"/>
        </w:rPr>
        <w:t xml:space="preserve">, cuando la demanda fue tramitada bajo la vigencia del Código Contencioso Administrativo, conforme al artículo 164A, </w:t>
      </w:r>
      <w:r w:rsidRPr="00431D53">
        <w:rPr>
          <w:rFonts w:ascii="Arial" w:hAnsi="Arial" w:cs="Arial"/>
          <w:i/>
          <w:szCs w:val="24"/>
          <w:lang w:val="es-CO"/>
        </w:rPr>
        <w:t>ibídem</w:t>
      </w:r>
      <w:r w:rsidRPr="00431D53">
        <w:rPr>
          <w:rFonts w:ascii="Arial" w:hAnsi="Arial" w:cs="Arial"/>
          <w:szCs w:val="24"/>
          <w:lang w:val="es-CO"/>
        </w:rPr>
        <w:t xml:space="preserve">, adicionada por el artículo 61 de la Ley 1395 de 2010; y ii) en </w:t>
      </w:r>
      <w:r w:rsidRPr="00431D53">
        <w:rPr>
          <w:rFonts w:ascii="Arial" w:hAnsi="Arial" w:cs="Arial"/>
          <w:b/>
          <w:szCs w:val="24"/>
          <w:lang w:val="es-CO"/>
        </w:rPr>
        <w:t>Sala de Sección</w:t>
      </w:r>
      <w:r w:rsidRPr="00431D53">
        <w:rPr>
          <w:rFonts w:ascii="Arial" w:hAnsi="Arial" w:cs="Arial"/>
          <w:szCs w:val="24"/>
          <w:lang w:val="es-CO"/>
        </w:rPr>
        <w:t>, cuando la demanda haya sido radicada en vigencia del Código de Procedimiento y de lo Contencioso Administrativo, de conformidad con lo dispuesto en el artículo 131 de dicha normativa.</w:t>
      </w:r>
    </w:p>
  </w:footnote>
  <w:footnote w:id="15">
    <w:p w14:paraId="223D0645" w14:textId="77777777" w:rsidR="005B62E6" w:rsidRPr="00431D53" w:rsidRDefault="005B62E6" w:rsidP="005B62E6">
      <w:pPr>
        <w:pStyle w:val="FootnoteText"/>
        <w:jc w:val="both"/>
        <w:rPr>
          <w:rFonts w:ascii="Arial" w:hAnsi="Arial" w:cs="Arial"/>
          <w:szCs w:val="24"/>
          <w:lang w:val="es-CO"/>
        </w:rPr>
      </w:pPr>
      <w:r w:rsidRPr="00431D53">
        <w:rPr>
          <w:rStyle w:val="FootnoteReference"/>
          <w:rFonts w:ascii="Arial" w:hAnsi="Arial" w:cs="Arial"/>
          <w:szCs w:val="24"/>
          <w:lang w:val="es-CO"/>
        </w:rPr>
        <w:footnoteRef/>
      </w:r>
      <w:r w:rsidRPr="00431D53">
        <w:rPr>
          <w:rFonts w:ascii="Arial" w:hAnsi="Arial" w:cs="Arial"/>
          <w:szCs w:val="24"/>
          <w:lang w:val="es-CO"/>
        </w:rPr>
        <w:t xml:space="preserve"> “</w:t>
      </w:r>
      <w:r w:rsidRPr="00431D53">
        <w:rPr>
          <w:rFonts w:ascii="Arial" w:hAnsi="Arial" w:cs="Arial"/>
          <w:i/>
          <w:szCs w:val="24"/>
          <w:lang w:val="es-CO"/>
        </w:rPr>
        <w:t>[…] Por medio de la cual se expide el Código General del Proceso y se dictan otras disposiciones […]”.</w:t>
      </w:r>
    </w:p>
  </w:footnote>
  <w:footnote w:id="16">
    <w:p w14:paraId="1A2637DF" w14:textId="77777777" w:rsidR="005B62E6" w:rsidRPr="00431D53" w:rsidRDefault="005B62E6" w:rsidP="005B62E6">
      <w:pPr>
        <w:pStyle w:val="FootnoteText"/>
        <w:jc w:val="both"/>
        <w:rPr>
          <w:rFonts w:ascii="Arial" w:hAnsi="Arial" w:cs="Arial"/>
          <w:szCs w:val="24"/>
          <w:lang w:val="es-CO"/>
        </w:rPr>
      </w:pPr>
      <w:r w:rsidRPr="00431D53">
        <w:rPr>
          <w:rStyle w:val="FootnoteReference"/>
          <w:rFonts w:ascii="Arial" w:hAnsi="Arial" w:cs="Arial"/>
          <w:szCs w:val="24"/>
          <w:lang w:val="es-CO"/>
        </w:rPr>
        <w:footnoteRef/>
      </w:r>
      <w:r w:rsidRPr="00431D53">
        <w:rPr>
          <w:rFonts w:ascii="Arial" w:hAnsi="Arial" w:cs="Arial"/>
          <w:szCs w:val="24"/>
          <w:lang w:val="es-CO"/>
        </w:rPr>
        <w:t xml:space="preserve"> Aplicable por remisión del artículo 267 del Decreto Ley 01 de 10 de enero de 1984. </w:t>
      </w:r>
      <w:r w:rsidRPr="00431D53">
        <w:rPr>
          <w:rFonts w:ascii="Arial" w:hAnsi="Arial" w:cs="Arial"/>
          <w:i/>
          <w:szCs w:val="24"/>
          <w:lang w:val="es-CO"/>
        </w:rPr>
        <w:t xml:space="preserve">“[…] </w:t>
      </w:r>
      <w:r w:rsidRPr="00431D53">
        <w:rPr>
          <w:rStyle w:val="Strong"/>
          <w:rFonts w:ascii="Arial" w:hAnsi="Arial" w:cs="Arial"/>
          <w:b w:val="0"/>
          <w:i/>
          <w:szCs w:val="24"/>
          <w:lang w:val="es-CO"/>
        </w:rPr>
        <w:t>Aspectos no regulados</w:t>
      </w:r>
      <w:r w:rsidRPr="00431D53">
        <w:rPr>
          <w:rStyle w:val="Strong"/>
          <w:rFonts w:ascii="Arial" w:hAnsi="Arial" w:cs="Arial"/>
          <w:i/>
          <w:szCs w:val="24"/>
          <w:lang w:val="es-CO"/>
        </w:rPr>
        <w:t>:</w:t>
      </w:r>
      <w:r w:rsidR="00BC528F" w:rsidRPr="00431D53">
        <w:rPr>
          <w:rFonts w:ascii="Arial" w:hAnsi="Arial" w:cs="Arial"/>
          <w:i/>
          <w:szCs w:val="24"/>
          <w:lang w:val="es-CO"/>
        </w:rPr>
        <w:t xml:space="preserve"> </w:t>
      </w:r>
      <w:r w:rsidRPr="00431D53">
        <w:rPr>
          <w:rFonts w:ascii="Arial" w:hAnsi="Arial" w:cs="Arial"/>
          <w:i/>
          <w:szCs w:val="24"/>
          <w:lang w:val="es-CO"/>
        </w:rPr>
        <w:t>En los aspectos no contemplados en este Código se seguirá el Código de Procedimiento Civil en lo que sea compatible con la naturaleza de los procesos y actuaciones que correspondan a la jurisdicción en</w:t>
      </w:r>
      <w:r w:rsidR="00BC528F" w:rsidRPr="00431D53">
        <w:rPr>
          <w:rFonts w:ascii="Arial" w:hAnsi="Arial" w:cs="Arial"/>
          <w:i/>
          <w:szCs w:val="24"/>
          <w:lang w:val="es-CO"/>
        </w:rPr>
        <w:t xml:space="preserve"> lo Contencioso Administrativo. </w:t>
      </w:r>
      <w:r w:rsidRPr="00431D53">
        <w:rPr>
          <w:rFonts w:ascii="Arial" w:hAnsi="Arial" w:cs="Arial"/>
          <w:i/>
          <w:szCs w:val="24"/>
          <w:lang w:val="es-CO"/>
        </w:rPr>
        <w:t xml:space="preserve">[…]”. </w:t>
      </w:r>
      <w:r w:rsidRPr="00431D53">
        <w:rPr>
          <w:rFonts w:ascii="Arial" w:hAnsi="Arial" w:cs="Arial"/>
          <w:szCs w:val="24"/>
          <w:lang w:val="es-CO"/>
        </w:rPr>
        <w:t xml:space="preserve">A partir del 1 de enero de 2014, se entenderá que la remisión normativa efectuada en el artículo que antecede </w:t>
      </w:r>
      <w:r w:rsidR="00EF53B5" w:rsidRPr="00431D53">
        <w:rPr>
          <w:rFonts w:ascii="Arial" w:hAnsi="Arial" w:cs="Arial"/>
          <w:szCs w:val="24"/>
          <w:lang w:val="es-CO"/>
        </w:rPr>
        <w:t>se refiere a la Ley 1564.</w:t>
      </w:r>
    </w:p>
  </w:footnote>
  <w:footnote w:id="17">
    <w:p w14:paraId="473A1F55" w14:textId="77777777" w:rsidR="005B62E6" w:rsidRPr="001460E8" w:rsidRDefault="005B62E6" w:rsidP="005B62E6">
      <w:pPr>
        <w:pStyle w:val="FootnoteText"/>
        <w:jc w:val="both"/>
        <w:rPr>
          <w:rFonts w:ascii="Arial" w:hAnsi="Arial" w:cs="Arial"/>
          <w:szCs w:val="24"/>
          <w:lang w:val="es-CO"/>
        </w:rPr>
      </w:pPr>
      <w:r w:rsidRPr="00431D53">
        <w:rPr>
          <w:rStyle w:val="FootnoteReference"/>
          <w:rFonts w:ascii="Arial" w:hAnsi="Arial" w:cs="Arial"/>
          <w:szCs w:val="24"/>
          <w:lang w:val="es-CO"/>
        </w:rPr>
        <w:footnoteRef/>
      </w:r>
      <w:r w:rsidRPr="00431D53">
        <w:rPr>
          <w:rFonts w:ascii="Arial" w:hAnsi="Arial" w:cs="Arial"/>
          <w:szCs w:val="24"/>
          <w:lang w:val="es-CO"/>
        </w:rPr>
        <w:t xml:space="preserve"> Corte Constitucional. Sentencia C 390 de 16 de septiembre de 1993. </w:t>
      </w:r>
      <w:r w:rsidRPr="00431D53">
        <w:rPr>
          <w:rFonts w:ascii="Arial" w:hAnsi="Arial" w:cs="Arial"/>
          <w:szCs w:val="24"/>
          <w:lang w:val="es-CO"/>
        </w:rPr>
        <w:t>M.P. Alejandro Martínez Caballero, Corte Constitucional. Auto 279 de 29 de junio de 2016. M.P. Gloria Stella Ortiz Delgado.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48E"/>
    <w:rsid w:val="001460E8"/>
    <w:rsid w:val="002726CA"/>
    <w:rsid w:val="00431D53"/>
    <w:rsid w:val="005B62E6"/>
    <w:rsid w:val="007E10F9"/>
    <w:rsid w:val="00933155"/>
    <w:rsid w:val="00BC528F"/>
    <w:rsid w:val="00BE73D9"/>
    <w:rsid w:val="00BF2CB5"/>
    <w:rsid w:val="00D0748E"/>
    <w:rsid w:val="00DC793A"/>
    <w:rsid w:val="00EF53B5"/>
    <w:rsid w:val="00FC67C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80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2E6"/>
    <w:pPr>
      <w:spacing w:after="0" w:line="240" w:lineRule="auto"/>
    </w:pPr>
    <w:rPr>
      <w:rFonts w:ascii="Calibri" w:eastAsia="Calibri" w:hAnsi="Calibri" w:cs="Times New Roman"/>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2E6"/>
    <w:pPr>
      <w:spacing w:after="0" w:line="240" w:lineRule="auto"/>
      <w:jc w:val="both"/>
    </w:pPr>
    <w:rPr>
      <w:rFonts w:ascii="Calibri" w:eastAsia="Calibri" w:hAnsi="Calibri" w:cs="Times New Roman"/>
    </w:rPr>
  </w:style>
  <w:style w:type="character" w:styleId="FootnoteReference">
    <w:name w:val="footnote reference"/>
    <w:aliases w:val="Texto de nota al pie,referencia nota al pie,Ref. de nota al pie 2,Footnotes refss,BVI fnr,Appel note de bas de page,Footnote symbol,Footnote,Footnote number,f,Ref. de nota al pie.,Ref,de nota al pie,Pie de Página,FC,Nota de pie,4_G,F"/>
    <w:link w:val="Piedepagina"/>
    <w:uiPriority w:val="99"/>
    <w:unhideWhenUsed/>
    <w:qFormat/>
    <w:rsid w:val="005B62E6"/>
    <w:rPr>
      <w:vertAlign w:val="superscript"/>
    </w:rPr>
  </w:style>
  <w:style w:type="character" w:customStyle="1" w:styleId="NoSpacingChar">
    <w:name w:val="No Spacing Char"/>
    <w:link w:val="NoSpacing"/>
    <w:uiPriority w:val="1"/>
    <w:locked/>
    <w:rsid w:val="005B62E6"/>
    <w:rPr>
      <w:rFonts w:ascii="Calibri" w:eastAsia="Calibri" w:hAnsi="Calibri" w:cs="Times New Roman"/>
    </w:rPr>
  </w:style>
  <w:style w:type="paragraph" w:styleId="FootnoteText">
    <w:name w:val="footnote text"/>
    <w:aliases w:val="Footnote Text Char Char Char Char Char,Footnote Text Char Char Char Char,Footnote reference,FA Fu,texto de nota al pie,Footnote Text Char Char Char,Footnote Text Char Char Char Char Char Char Char Char,ft"/>
    <w:basedOn w:val="Normal"/>
    <w:link w:val="FootnoteTextChar"/>
    <w:uiPriority w:val="99"/>
    <w:unhideWhenUsed/>
    <w:qFormat/>
    <w:rsid w:val="005B62E6"/>
    <w:rPr>
      <w:sz w:val="20"/>
      <w:szCs w:val="20"/>
      <w:lang w:val="es-ES"/>
    </w:rPr>
  </w:style>
  <w:style w:type="character" w:customStyle="1" w:styleId="FootnoteTextChar">
    <w:name w:val="Footnote Text Char"/>
    <w:aliases w:val="Footnote Text Char Char Char Char Char Char,Footnote Text Char Char Char Char Char1,Footnote reference Char,FA Fu Char,texto de nota al pie Char,Footnote Text Char Char Char Char1,ft Char"/>
    <w:basedOn w:val="DefaultParagraphFont"/>
    <w:link w:val="FootnoteText"/>
    <w:uiPriority w:val="99"/>
    <w:qFormat/>
    <w:rsid w:val="005B62E6"/>
    <w:rPr>
      <w:rFonts w:ascii="Calibri" w:eastAsia="Calibri" w:hAnsi="Calibri" w:cs="Times New Roman"/>
      <w:sz w:val="20"/>
      <w:szCs w:val="20"/>
    </w:rPr>
  </w:style>
  <w:style w:type="paragraph" w:customStyle="1" w:styleId="Piedepagina">
    <w:name w:val="Pie de pagina"/>
    <w:basedOn w:val="Normal"/>
    <w:link w:val="FootnoteReference"/>
    <w:uiPriority w:val="99"/>
    <w:rsid w:val="005B62E6"/>
    <w:pPr>
      <w:spacing w:line="240" w:lineRule="exact"/>
    </w:pPr>
    <w:rPr>
      <w:rFonts w:asciiTheme="minorHAnsi" w:eastAsiaTheme="minorHAnsi" w:hAnsiTheme="minorHAnsi" w:cstheme="minorBidi"/>
      <w:vertAlign w:val="superscript"/>
      <w:lang w:val="es-ES"/>
    </w:rPr>
  </w:style>
  <w:style w:type="paragraph" w:styleId="NormalWeb">
    <w:name w:val="Normal (Web)"/>
    <w:basedOn w:val="Normal"/>
    <w:uiPriority w:val="99"/>
    <w:unhideWhenUsed/>
    <w:rsid w:val="005B62E6"/>
    <w:pPr>
      <w:spacing w:before="100" w:beforeAutospacing="1" w:after="100" w:afterAutospacing="1"/>
    </w:pPr>
    <w:rPr>
      <w:rFonts w:ascii="Times New Roman" w:eastAsia="Times New Roman" w:hAnsi="Times New Roman"/>
      <w:sz w:val="24"/>
      <w:szCs w:val="24"/>
      <w:lang w:eastAsia="es-CO"/>
    </w:rPr>
  </w:style>
  <w:style w:type="character" w:customStyle="1" w:styleId="Ninguno">
    <w:name w:val="Ninguno"/>
    <w:rsid w:val="005B62E6"/>
  </w:style>
  <w:style w:type="character" w:styleId="Strong">
    <w:name w:val="Strong"/>
    <w:uiPriority w:val="22"/>
    <w:qFormat/>
    <w:rsid w:val="005B62E6"/>
    <w:rPr>
      <w:b/>
      <w:bCs/>
    </w:rPr>
  </w:style>
  <w:style w:type="paragraph" w:customStyle="1" w:styleId="p2">
    <w:name w:val="p2"/>
    <w:basedOn w:val="Normal"/>
    <w:rsid w:val="001460E8"/>
    <w:rPr>
      <w:rFonts w:ascii="Arial" w:hAnsi="Arial" w:cs="Arial"/>
      <w:sz w:val="17"/>
      <w:szCs w:val="17"/>
      <w:lang w:val="es-ES_tradnl" w:eastAsia="es-ES_tradnl"/>
    </w:rPr>
  </w:style>
  <w:style w:type="character" w:customStyle="1" w:styleId="apple-converted-space">
    <w:name w:val="apple-converted-space"/>
    <w:rsid w:val="001460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2E6"/>
    <w:pPr>
      <w:spacing w:after="0" w:line="240" w:lineRule="auto"/>
    </w:pPr>
    <w:rPr>
      <w:rFonts w:ascii="Calibri" w:eastAsia="Calibri" w:hAnsi="Calibri" w:cs="Times New Roman"/>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2E6"/>
    <w:pPr>
      <w:spacing w:after="0" w:line="240" w:lineRule="auto"/>
      <w:jc w:val="both"/>
    </w:pPr>
    <w:rPr>
      <w:rFonts w:ascii="Calibri" w:eastAsia="Calibri" w:hAnsi="Calibri" w:cs="Times New Roman"/>
    </w:rPr>
  </w:style>
  <w:style w:type="character" w:styleId="FootnoteReference">
    <w:name w:val="footnote reference"/>
    <w:aliases w:val="Texto de nota al pie,referencia nota al pie,Ref. de nota al pie 2,Footnotes refss,BVI fnr,Appel note de bas de page,Footnote symbol,Footnote,Footnote number,f,Ref. de nota al pie.,Ref,de nota al pie,Pie de Página,FC,Nota de pie,4_G,F"/>
    <w:link w:val="Piedepagina"/>
    <w:uiPriority w:val="99"/>
    <w:unhideWhenUsed/>
    <w:qFormat/>
    <w:rsid w:val="005B62E6"/>
    <w:rPr>
      <w:vertAlign w:val="superscript"/>
    </w:rPr>
  </w:style>
  <w:style w:type="character" w:customStyle="1" w:styleId="NoSpacingChar">
    <w:name w:val="No Spacing Char"/>
    <w:link w:val="NoSpacing"/>
    <w:uiPriority w:val="1"/>
    <w:locked/>
    <w:rsid w:val="005B62E6"/>
    <w:rPr>
      <w:rFonts w:ascii="Calibri" w:eastAsia="Calibri" w:hAnsi="Calibri" w:cs="Times New Roman"/>
    </w:rPr>
  </w:style>
  <w:style w:type="paragraph" w:styleId="FootnoteText">
    <w:name w:val="footnote text"/>
    <w:aliases w:val="Footnote Text Char Char Char Char Char,Footnote Text Char Char Char Char,Footnote reference,FA Fu,texto de nota al pie,Footnote Text Char Char Char,Footnote Text Char Char Char Char Char Char Char Char,ft"/>
    <w:basedOn w:val="Normal"/>
    <w:link w:val="FootnoteTextChar"/>
    <w:uiPriority w:val="99"/>
    <w:unhideWhenUsed/>
    <w:qFormat/>
    <w:rsid w:val="005B62E6"/>
    <w:rPr>
      <w:sz w:val="20"/>
      <w:szCs w:val="20"/>
      <w:lang w:val="es-ES"/>
    </w:rPr>
  </w:style>
  <w:style w:type="character" w:customStyle="1" w:styleId="FootnoteTextChar">
    <w:name w:val="Footnote Text Char"/>
    <w:aliases w:val="Footnote Text Char Char Char Char Char Char,Footnote Text Char Char Char Char Char1,Footnote reference Char,FA Fu Char,texto de nota al pie Char,Footnote Text Char Char Char Char1,ft Char"/>
    <w:basedOn w:val="DefaultParagraphFont"/>
    <w:link w:val="FootnoteText"/>
    <w:uiPriority w:val="99"/>
    <w:qFormat/>
    <w:rsid w:val="005B62E6"/>
    <w:rPr>
      <w:rFonts w:ascii="Calibri" w:eastAsia="Calibri" w:hAnsi="Calibri" w:cs="Times New Roman"/>
      <w:sz w:val="20"/>
      <w:szCs w:val="20"/>
    </w:rPr>
  </w:style>
  <w:style w:type="paragraph" w:customStyle="1" w:styleId="Piedepagina">
    <w:name w:val="Pie de pagina"/>
    <w:basedOn w:val="Normal"/>
    <w:link w:val="FootnoteReference"/>
    <w:uiPriority w:val="99"/>
    <w:rsid w:val="005B62E6"/>
    <w:pPr>
      <w:spacing w:line="240" w:lineRule="exact"/>
    </w:pPr>
    <w:rPr>
      <w:rFonts w:asciiTheme="minorHAnsi" w:eastAsiaTheme="minorHAnsi" w:hAnsiTheme="minorHAnsi" w:cstheme="minorBidi"/>
      <w:vertAlign w:val="superscript"/>
      <w:lang w:val="es-ES"/>
    </w:rPr>
  </w:style>
  <w:style w:type="paragraph" w:styleId="NormalWeb">
    <w:name w:val="Normal (Web)"/>
    <w:basedOn w:val="Normal"/>
    <w:uiPriority w:val="99"/>
    <w:unhideWhenUsed/>
    <w:rsid w:val="005B62E6"/>
    <w:pPr>
      <w:spacing w:before="100" w:beforeAutospacing="1" w:after="100" w:afterAutospacing="1"/>
    </w:pPr>
    <w:rPr>
      <w:rFonts w:ascii="Times New Roman" w:eastAsia="Times New Roman" w:hAnsi="Times New Roman"/>
      <w:sz w:val="24"/>
      <w:szCs w:val="24"/>
      <w:lang w:eastAsia="es-CO"/>
    </w:rPr>
  </w:style>
  <w:style w:type="character" w:customStyle="1" w:styleId="Ninguno">
    <w:name w:val="Ninguno"/>
    <w:rsid w:val="005B62E6"/>
  </w:style>
  <w:style w:type="character" w:styleId="Strong">
    <w:name w:val="Strong"/>
    <w:uiPriority w:val="22"/>
    <w:qFormat/>
    <w:rsid w:val="005B62E6"/>
    <w:rPr>
      <w:b/>
      <w:bCs/>
    </w:rPr>
  </w:style>
  <w:style w:type="paragraph" w:customStyle="1" w:styleId="p2">
    <w:name w:val="p2"/>
    <w:basedOn w:val="Normal"/>
    <w:rsid w:val="001460E8"/>
    <w:rPr>
      <w:rFonts w:ascii="Arial" w:hAnsi="Arial" w:cs="Arial"/>
      <w:sz w:val="17"/>
      <w:szCs w:val="17"/>
      <w:lang w:val="es-ES_tradnl" w:eastAsia="es-ES_tradnl"/>
    </w:rPr>
  </w:style>
  <w:style w:type="character" w:customStyle="1" w:styleId="apple-converted-space">
    <w:name w:val="apple-converted-space"/>
    <w:rsid w:val="00146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1548</Words>
  <Characters>8826</Characters>
  <Application>Microsoft Macintosh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DES7S101</dc:creator>
  <cp:keywords/>
  <dc:description/>
  <cp:lastModifiedBy>acme acme</cp:lastModifiedBy>
  <cp:revision>5</cp:revision>
  <dcterms:created xsi:type="dcterms:W3CDTF">2020-03-03T13:50:00Z</dcterms:created>
  <dcterms:modified xsi:type="dcterms:W3CDTF">2020-03-17T02:27:00Z</dcterms:modified>
</cp:coreProperties>
</file>