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60C" w:rsidRDefault="00B7360C" w:rsidP="00B7360C">
      <w:pPr>
        <w:spacing w:after="120" w:line="360" w:lineRule="auto"/>
        <w:ind w:right="51"/>
        <w:contextualSpacing/>
        <w:rPr>
          <w:rFonts w:ascii="Bookman Old Style" w:hAnsi="Bookman Old Style" w:cs="Arial"/>
          <w:b/>
          <w:sz w:val="28"/>
          <w:szCs w:val="28"/>
          <w:lang w:val="es-CO"/>
        </w:rPr>
      </w:pPr>
    </w:p>
    <w:p w:rsidR="00B7360C" w:rsidRDefault="00B7360C" w:rsidP="00B7360C">
      <w:pPr>
        <w:tabs>
          <w:tab w:val="left" w:pos="1134"/>
        </w:tabs>
        <w:spacing w:line="360" w:lineRule="auto"/>
        <w:rPr>
          <w:rFonts w:ascii="Bookman Old Style" w:hAnsi="Bookman Old Style" w:cs="Arial"/>
          <w:b/>
          <w:sz w:val="28"/>
          <w:szCs w:val="28"/>
          <w:lang w:eastAsia="es-ES"/>
        </w:rPr>
      </w:pPr>
    </w:p>
    <w:p w:rsidR="00B7360C" w:rsidRDefault="00B7360C" w:rsidP="00B7360C">
      <w:pPr>
        <w:tabs>
          <w:tab w:val="left" w:pos="1134"/>
        </w:tabs>
        <w:spacing w:line="360" w:lineRule="auto"/>
        <w:jc w:val="center"/>
        <w:rPr>
          <w:rFonts w:ascii="Bookman Old Style" w:hAnsi="Bookman Old Style" w:cs="Arial"/>
          <w:b/>
          <w:sz w:val="28"/>
          <w:szCs w:val="28"/>
          <w:lang w:eastAsia="es-ES"/>
        </w:rPr>
      </w:pPr>
    </w:p>
    <w:p w:rsidR="00B7360C" w:rsidRPr="00057BFF" w:rsidRDefault="00B7360C" w:rsidP="00B7360C">
      <w:pPr>
        <w:tabs>
          <w:tab w:val="left" w:pos="1134"/>
        </w:tabs>
        <w:spacing w:after="0" w:line="360" w:lineRule="auto"/>
        <w:jc w:val="center"/>
        <w:rPr>
          <w:rFonts w:ascii="Bookman Old Style" w:hAnsi="Bookman Old Style" w:cs="Arial"/>
          <w:b/>
          <w:sz w:val="28"/>
          <w:szCs w:val="28"/>
          <w:lang w:eastAsia="es-ES"/>
        </w:rPr>
      </w:pPr>
      <w:r w:rsidRPr="00057BFF">
        <w:rPr>
          <w:rFonts w:ascii="Bookman Old Style" w:hAnsi="Bookman Old Style" w:cs="Arial"/>
          <w:b/>
          <w:sz w:val="28"/>
          <w:szCs w:val="28"/>
          <w:lang w:eastAsia="es-ES"/>
        </w:rPr>
        <w:t>FABIO OSPITIA GARZÓN</w:t>
      </w:r>
    </w:p>
    <w:p w:rsidR="00B7360C" w:rsidRPr="00057BFF" w:rsidRDefault="00B7360C" w:rsidP="00B7360C">
      <w:pPr>
        <w:tabs>
          <w:tab w:val="left" w:pos="1134"/>
        </w:tabs>
        <w:spacing w:after="0" w:line="360" w:lineRule="auto"/>
        <w:jc w:val="center"/>
        <w:rPr>
          <w:rFonts w:ascii="Bookman Old Style" w:hAnsi="Bookman Old Style" w:cs="Arial"/>
          <w:sz w:val="28"/>
          <w:szCs w:val="28"/>
          <w:lang w:eastAsia="es-ES"/>
        </w:rPr>
      </w:pPr>
      <w:r w:rsidRPr="00057BFF">
        <w:rPr>
          <w:rFonts w:ascii="Bookman Old Style" w:hAnsi="Bookman Old Style" w:cs="Arial"/>
          <w:sz w:val="28"/>
          <w:szCs w:val="28"/>
          <w:lang w:eastAsia="es-ES"/>
        </w:rPr>
        <w:t>Magistrado Ponente</w:t>
      </w:r>
    </w:p>
    <w:p w:rsidR="00B7360C" w:rsidRDefault="00B7360C" w:rsidP="00B7360C">
      <w:pPr>
        <w:tabs>
          <w:tab w:val="left" w:pos="1134"/>
        </w:tabs>
        <w:spacing w:after="0" w:line="360" w:lineRule="auto"/>
        <w:rPr>
          <w:rFonts w:ascii="Bookman Old Style" w:hAnsi="Bookman Old Style" w:cs="Arial"/>
          <w:b/>
          <w:szCs w:val="28"/>
          <w:lang w:eastAsia="es-ES"/>
        </w:rPr>
      </w:pPr>
    </w:p>
    <w:p w:rsidR="00B7360C" w:rsidRDefault="00B7360C" w:rsidP="00B7360C">
      <w:pPr>
        <w:tabs>
          <w:tab w:val="left" w:pos="1134"/>
        </w:tabs>
        <w:spacing w:after="0" w:line="360" w:lineRule="auto"/>
        <w:rPr>
          <w:rFonts w:ascii="Bookman Old Style" w:hAnsi="Bookman Old Style" w:cs="Arial"/>
          <w:b/>
          <w:szCs w:val="28"/>
          <w:lang w:eastAsia="es-ES"/>
        </w:rPr>
      </w:pPr>
    </w:p>
    <w:p w:rsidR="00B7360C" w:rsidRPr="00957E2C" w:rsidRDefault="00B7360C" w:rsidP="00B7360C">
      <w:pPr>
        <w:tabs>
          <w:tab w:val="left" w:pos="1134"/>
        </w:tabs>
        <w:spacing w:after="0" w:line="360" w:lineRule="auto"/>
        <w:rPr>
          <w:rFonts w:ascii="Bookman Old Style" w:hAnsi="Bookman Old Style" w:cs="Arial"/>
          <w:b/>
          <w:szCs w:val="28"/>
          <w:lang w:eastAsia="es-ES"/>
        </w:rPr>
      </w:pPr>
    </w:p>
    <w:p w:rsidR="00B7360C" w:rsidRDefault="00B7360C" w:rsidP="00B7360C">
      <w:pPr>
        <w:spacing w:after="0" w:line="360" w:lineRule="auto"/>
        <w:jc w:val="center"/>
        <w:rPr>
          <w:rFonts w:ascii="Bookman Old Style" w:hAnsi="Bookman Old Style" w:cs="Arial"/>
          <w:b/>
          <w:sz w:val="28"/>
          <w:szCs w:val="28"/>
          <w:lang w:eastAsia="es-ES"/>
        </w:rPr>
      </w:pPr>
      <w:r>
        <w:rPr>
          <w:rFonts w:ascii="Bookman Old Style" w:hAnsi="Bookman Old Style" w:cs="Arial"/>
          <w:b/>
          <w:sz w:val="28"/>
          <w:szCs w:val="28"/>
          <w:lang w:eastAsia="es-ES"/>
        </w:rPr>
        <w:t>SP403-2023</w:t>
      </w:r>
    </w:p>
    <w:p w:rsidR="00B7360C" w:rsidRPr="00057BFF" w:rsidRDefault="00B7360C" w:rsidP="00B7360C">
      <w:pPr>
        <w:spacing w:after="0" w:line="360" w:lineRule="auto"/>
        <w:jc w:val="center"/>
        <w:rPr>
          <w:rFonts w:ascii="Bookman Old Style" w:hAnsi="Bookman Old Style" w:cs="Arial"/>
          <w:b/>
          <w:sz w:val="28"/>
          <w:szCs w:val="28"/>
          <w:lang w:eastAsia="es-ES"/>
        </w:rPr>
      </w:pPr>
      <w:r>
        <w:rPr>
          <w:rFonts w:ascii="Bookman Old Style" w:hAnsi="Bookman Old Style" w:cs="Arial"/>
          <w:b/>
          <w:sz w:val="28"/>
          <w:szCs w:val="28"/>
          <w:lang w:eastAsia="es-ES"/>
        </w:rPr>
        <w:t>Casación No. 60736</w:t>
      </w:r>
    </w:p>
    <w:p w:rsidR="00B7360C" w:rsidRPr="00057BFF" w:rsidRDefault="00B7360C" w:rsidP="00B7360C">
      <w:pPr>
        <w:tabs>
          <w:tab w:val="left" w:pos="1134"/>
        </w:tabs>
        <w:spacing w:after="0" w:line="360" w:lineRule="auto"/>
        <w:jc w:val="center"/>
        <w:rPr>
          <w:rFonts w:ascii="Bookman Old Style" w:hAnsi="Bookman Old Style" w:cs="Arial"/>
          <w:sz w:val="28"/>
          <w:szCs w:val="28"/>
          <w:lang w:eastAsia="es-ES"/>
        </w:rPr>
      </w:pPr>
      <w:r w:rsidRPr="00057BFF">
        <w:rPr>
          <w:rFonts w:ascii="Bookman Old Style" w:hAnsi="Bookman Old Style" w:cs="Arial"/>
          <w:sz w:val="28"/>
          <w:szCs w:val="28"/>
          <w:lang w:eastAsia="es-ES"/>
        </w:rPr>
        <w:t xml:space="preserve">Acta </w:t>
      </w:r>
      <w:r>
        <w:rPr>
          <w:rFonts w:ascii="Bookman Old Style" w:hAnsi="Bookman Old Style" w:cs="Arial"/>
          <w:sz w:val="28"/>
          <w:szCs w:val="28"/>
          <w:lang w:eastAsia="es-ES"/>
        </w:rPr>
        <w:t>No. 176</w:t>
      </w:r>
    </w:p>
    <w:p w:rsidR="00B7360C" w:rsidRDefault="00B7360C" w:rsidP="00B7360C">
      <w:pPr>
        <w:tabs>
          <w:tab w:val="left" w:pos="7248"/>
        </w:tabs>
        <w:spacing w:line="360" w:lineRule="auto"/>
        <w:jc w:val="both"/>
        <w:rPr>
          <w:rFonts w:ascii="Bookman Old Style" w:hAnsi="Bookman Old Style" w:cs="Arial"/>
          <w:sz w:val="28"/>
          <w:szCs w:val="28"/>
          <w:lang w:val="es-ES_tradnl" w:eastAsia="es-ES"/>
        </w:rPr>
      </w:pPr>
      <w:r>
        <w:rPr>
          <w:rFonts w:ascii="Bookman Old Style" w:hAnsi="Bookman Old Style" w:cs="Arial"/>
          <w:sz w:val="28"/>
          <w:szCs w:val="28"/>
          <w:lang w:val="es-ES_tradnl" w:eastAsia="es-ES"/>
        </w:rPr>
        <w:tab/>
      </w:r>
    </w:p>
    <w:p w:rsidR="00B7360C" w:rsidRDefault="00B7360C" w:rsidP="00B7360C">
      <w:pPr>
        <w:tabs>
          <w:tab w:val="left" w:pos="7248"/>
        </w:tabs>
        <w:spacing w:line="360" w:lineRule="auto"/>
        <w:jc w:val="both"/>
        <w:rPr>
          <w:rFonts w:ascii="Bookman Old Style" w:hAnsi="Bookman Old Style" w:cs="Arial"/>
          <w:sz w:val="28"/>
          <w:szCs w:val="28"/>
          <w:lang w:val="es-ES_tradnl" w:eastAsia="es-ES"/>
        </w:rPr>
      </w:pPr>
    </w:p>
    <w:p w:rsidR="00B7360C" w:rsidRDefault="00B7360C" w:rsidP="00B7360C">
      <w:pPr>
        <w:tabs>
          <w:tab w:val="left" w:pos="1134"/>
        </w:tabs>
        <w:spacing w:line="360" w:lineRule="auto"/>
        <w:ind w:firstLine="709"/>
        <w:jc w:val="both"/>
        <w:rPr>
          <w:rFonts w:ascii="Bookman Old Style" w:hAnsi="Bookman Old Style" w:cs="Arial"/>
          <w:sz w:val="28"/>
          <w:szCs w:val="28"/>
          <w:lang w:val="es-ES_tradnl" w:eastAsia="es-ES"/>
        </w:rPr>
      </w:pPr>
      <w:r w:rsidRPr="005B3E40">
        <w:rPr>
          <w:rFonts w:ascii="Bookman Old Style" w:hAnsi="Bookman Old Style" w:cs="Arial"/>
          <w:sz w:val="28"/>
          <w:szCs w:val="28"/>
          <w:lang w:val="es-ES_tradnl" w:eastAsia="es-ES"/>
        </w:rPr>
        <w:t>Bogotá,</w:t>
      </w:r>
      <w:r>
        <w:rPr>
          <w:rFonts w:ascii="Bookman Old Style" w:hAnsi="Bookman Old Style" w:cs="Arial"/>
          <w:sz w:val="28"/>
          <w:szCs w:val="28"/>
          <w:lang w:val="es-ES_tradnl" w:eastAsia="es-ES"/>
        </w:rPr>
        <w:t xml:space="preserve"> </w:t>
      </w:r>
      <w:r w:rsidRPr="005B3E40">
        <w:rPr>
          <w:rFonts w:ascii="Bookman Old Style" w:hAnsi="Bookman Old Style" w:cs="Arial"/>
          <w:sz w:val="28"/>
          <w:szCs w:val="28"/>
          <w:lang w:val="es-ES_tradnl" w:eastAsia="es-ES"/>
        </w:rPr>
        <w:t>D.C.,</w:t>
      </w:r>
      <w:r>
        <w:rPr>
          <w:rFonts w:ascii="Bookman Old Style" w:hAnsi="Bookman Old Style" w:cs="Arial"/>
          <w:sz w:val="28"/>
          <w:szCs w:val="28"/>
          <w:lang w:val="es-ES_tradnl" w:eastAsia="es-ES"/>
        </w:rPr>
        <w:t xml:space="preserve"> veinte (20) de septiembre </w:t>
      </w:r>
      <w:r w:rsidRPr="005B3E40">
        <w:rPr>
          <w:rFonts w:ascii="Bookman Old Style" w:hAnsi="Bookman Old Style" w:cs="Arial"/>
          <w:sz w:val="28"/>
          <w:szCs w:val="28"/>
          <w:lang w:val="es-ES_tradnl" w:eastAsia="es-ES"/>
        </w:rPr>
        <w:t>de</w:t>
      </w:r>
      <w:r>
        <w:rPr>
          <w:rFonts w:ascii="Bookman Old Style" w:hAnsi="Bookman Old Style" w:cs="Arial"/>
          <w:sz w:val="28"/>
          <w:szCs w:val="28"/>
          <w:lang w:val="es-ES_tradnl" w:eastAsia="es-ES"/>
        </w:rPr>
        <w:t xml:space="preserve"> </w:t>
      </w:r>
      <w:r w:rsidRPr="005B3E40">
        <w:rPr>
          <w:rFonts w:ascii="Bookman Old Style" w:hAnsi="Bookman Old Style" w:cs="Arial"/>
          <w:sz w:val="28"/>
          <w:szCs w:val="28"/>
          <w:lang w:val="es-ES_tradnl" w:eastAsia="es-ES"/>
        </w:rPr>
        <w:t>dos mil</w:t>
      </w:r>
      <w:r>
        <w:rPr>
          <w:rFonts w:ascii="Bookman Old Style" w:hAnsi="Bookman Old Style" w:cs="Arial"/>
          <w:sz w:val="28"/>
          <w:szCs w:val="28"/>
          <w:lang w:val="es-ES_tradnl" w:eastAsia="es-ES"/>
        </w:rPr>
        <w:t xml:space="preserve"> veintitrés </w:t>
      </w:r>
      <w:r w:rsidRPr="005B3E40">
        <w:rPr>
          <w:rFonts w:ascii="Bookman Old Style" w:hAnsi="Bookman Old Style" w:cs="Arial"/>
          <w:sz w:val="28"/>
          <w:szCs w:val="28"/>
          <w:lang w:val="es-ES_tradnl" w:eastAsia="es-ES"/>
        </w:rPr>
        <w:t>(202</w:t>
      </w:r>
      <w:r>
        <w:rPr>
          <w:rFonts w:ascii="Bookman Old Style" w:hAnsi="Bookman Old Style" w:cs="Arial"/>
          <w:sz w:val="28"/>
          <w:szCs w:val="28"/>
          <w:lang w:val="es-ES_tradnl" w:eastAsia="es-ES"/>
        </w:rPr>
        <w:t>3</w:t>
      </w:r>
      <w:r w:rsidRPr="005B3E40">
        <w:rPr>
          <w:rFonts w:ascii="Bookman Old Style" w:hAnsi="Bookman Old Style" w:cs="Arial"/>
          <w:sz w:val="28"/>
          <w:szCs w:val="28"/>
          <w:lang w:val="es-ES_tradnl" w:eastAsia="es-ES"/>
        </w:rPr>
        <w:t>).</w:t>
      </w:r>
    </w:p>
    <w:p w:rsidR="00B7360C" w:rsidRDefault="00B7360C" w:rsidP="00B7360C">
      <w:pPr>
        <w:tabs>
          <w:tab w:val="left" w:pos="1134"/>
        </w:tabs>
        <w:spacing w:line="360" w:lineRule="auto"/>
        <w:ind w:firstLine="709"/>
        <w:jc w:val="center"/>
        <w:rPr>
          <w:rFonts w:ascii="Bookman Old Style" w:hAnsi="Bookman Old Style" w:cs="Arial"/>
          <w:b/>
          <w:bCs/>
          <w:sz w:val="28"/>
          <w:szCs w:val="28"/>
          <w:lang w:val="es-ES_tradnl" w:eastAsia="es-ES"/>
        </w:rPr>
      </w:pPr>
    </w:p>
    <w:p w:rsidR="00B7360C" w:rsidRPr="00702316" w:rsidRDefault="00B7360C" w:rsidP="00B7360C">
      <w:pPr>
        <w:tabs>
          <w:tab w:val="left" w:pos="1134"/>
        </w:tabs>
        <w:spacing w:line="360" w:lineRule="auto"/>
        <w:ind w:firstLine="709"/>
        <w:jc w:val="center"/>
        <w:rPr>
          <w:rFonts w:ascii="Bookman Old Style" w:hAnsi="Bookman Old Style" w:cs="Arial"/>
          <w:b/>
          <w:bCs/>
          <w:sz w:val="28"/>
          <w:szCs w:val="28"/>
          <w:lang w:val="es-ES_tradnl" w:eastAsia="es-ES"/>
        </w:rPr>
      </w:pPr>
      <w:r>
        <w:rPr>
          <w:rFonts w:ascii="Bookman Old Style" w:hAnsi="Bookman Old Style" w:cs="Arial"/>
          <w:b/>
          <w:bCs/>
          <w:sz w:val="28"/>
          <w:szCs w:val="28"/>
          <w:lang w:val="es-ES_tradnl" w:eastAsia="es-ES"/>
        </w:rPr>
        <w:t xml:space="preserve">VISTOS </w:t>
      </w:r>
    </w:p>
    <w:p w:rsidR="00B7360C" w:rsidRPr="005541B4" w:rsidRDefault="00B7360C" w:rsidP="00B7360C">
      <w:pPr>
        <w:spacing w:after="160" w:line="360" w:lineRule="auto"/>
        <w:ind w:firstLine="708"/>
        <w:jc w:val="both"/>
        <w:rPr>
          <w:rFonts w:ascii="Bookman Old Style" w:hAnsi="Bookman Old Style" w:cs="Arial"/>
          <w:sz w:val="28"/>
          <w:szCs w:val="28"/>
        </w:rPr>
      </w:pPr>
      <w:bookmarkStart w:id="0" w:name="_Hlk49767691"/>
      <w:r>
        <w:rPr>
          <w:rFonts w:ascii="Bookman Old Style" w:eastAsia="Calibri" w:hAnsi="Bookman Old Style"/>
          <w:bCs/>
          <w:sz w:val="28"/>
          <w:szCs w:val="28"/>
        </w:rPr>
        <w:t xml:space="preserve">Se pronuncia la Corte oficiosamente sobre la legalidad de la pena accesoria de privación del derecho a la tenencia y porte de armas impuesta a </w:t>
      </w:r>
      <w:r>
        <w:rPr>
          <w:rFonts w:ascii="Bookman Old Style" w:hAnsi="Bookman Old Style"/>
          <w:b/>
          <w:bCs/>
          <w:sz w:val="28"/>
          <w:szCs w:val="28"/>
        </w:rPr>
        <w:t>OLGA PATRICIA BEDOYA BEDOYA</w:t>
      </w:r>
      <w:r>
        <w:rPr>
          <w:rFonts w:ascii="Bookman Old Style" w:eastAsia="Calibri" w:hAnsi="Bookman Old Style"/>
          <w:bCs/>
          <w:sz w:val="28"/>
          <w:szCs w:val="28"/>
        </w:rPr>
        <w:t xml:space="preserve"> en la sentencia proferida por el Tribunal Superior del Distrito Judicial de Medellín el 27 de septiembre de 2021, mediante la cual confirmó la emitida por el Juzgado 25 Penal </w:t>
      </w:r>
      <w:r>
        <w:rPr>
          <w:rFonts w:ascii="Bookman Old Style" w:eastAsia="Calibri" w:hAnsi="Bookman Old Style"/>
          <w:bCs/>
          <w:sz w:val="28"/>
          <w:szCs w:val="28"/>
        </w:rPr>
        <w:lastRenderedPageBreak/>
        <w:t>del Circuito de la misma ciudad el 29 de junio de 20</w:t>
      </w:r>
      <w:bookmarkEnd w:id="0"/>
      <w:r>
        <w:rPr>
          <w:rFonts w:ascii="Bookman Old Style" w:eastAsia="Calibri" w:hAnsi="Bookman Old Style"/>
          <w:bCs/>
          <w:sz w:val="28"/>
          <w:szCs w:val="28"/>
        </w:rPr>
        <w:t>21, que condenó a la acusada, previo preacuerdo, como autora</w:t>
      </w:r>
      <w:r>
        <w:rPr>
          <w:rFonts w:ascii="Bookman Old Style" w:hAnsi="Bookman Old Style" w:cs="Arial"/>
          <w:sz w:val="28"/>
          <w:szCs w:val="28"/>
        </w:rPr>
        <w:t xml:space="preserve"> de fabricación, tráfico y porte de armas de fuego o municiones </w:t>
      </w:r>
      <w:r>
        <w:rPr>
          <w:rFonts w:ascii="Bookman Old Style" w:hAnsi="Bookman Old Style" w:cs="Arial"/>
        </w:rPr>
        <w:t xml:space="preserve">(art. 365 C.P.), </w:t>
      </w:r>
      <w:r>
        <w:rPr>
          <w:rFonts w:ascii="Bookman Old Style" w:hAnsi="Bookman Old Style" w:cs="Arial"/>
          <w:sz w:val="28"/>
          <w:szCs w:val="28"/>
        </w:rPr>
        <w:t xml:space="preserve">en concurso con tráfico, fabricación o porte de estupefacientes </w:t>
      </w:r>
      <w:r>
        <w:rPr>
          <w:rFonts w:ascii="Bookman Old Style" w:hAnsi="Bookman Old Style" w:cs="Arial"/>
        </w:rPr>
        <w:t xml:space="preserve">(art. 376 C.P.). </w:t>
      </w:r>
      <w:r>
        <w:rPr>
          <w:rFonts w:ascii="Bookman Old Style" w:hAnsi="Bookman Old Style" w:cs="Arial"/>
          <w:sz w:val="28"/>
          <w:szCs w:val="28"/>
        </w:rPr>
        <w:t xml:space="preserve"> </w:t>
      </w:r>
    </w:p>
    <w:p w:rsidR="00B7360C" w:rsidRPr="00533925" w:rsidRDefault="00B7360C" w:rsidP="00B7360C">
      <w:pPr>
        <w:spacing w:after="160" w:line="360" w:lineRule="auto"/>
        <w:ind w:firstLine="708"/>
        <w:jc w:val="both"/>
        <w:rPr>
          <w:rFonts w:ascii="Bookman Old Style" w:hAnsi="Bookman Old Style"/>
          <w:b/>
          <w:lang w:eastAsia="es-ES"/>
        </w:rPr>
      </w:pPr>
    </w:p>
    <w:p w:rsidR="00B7360C" w:rsidRDefault="00B7360C" w:rsidP="00B7360C">
      <w:pPr>
        <w:spacing w:after="0" w:line="360" w:lineRule="auto"/>
        <w:jc w:val="center"/>
        <w:rPr>
          <w:rFonts w:ascii="Bookman Old Style" w:eastAsia="Calibri" w:hAnsi="Bookman Old Style"/>
          <w:b/>
          <w:sz w:val="28"/>
          <w:szCs w:val="28"/>
        </w:rPr>
      </w:pPr>
      <w:r w:rsidRPr="00A8368C">
        <w:rPr>
          <w:rFonts w:ascii="Bookman Old Style" w:eastAsia="Calibri" w:hAnsi="Bookman Old Style"/>
          <w:b/>
          <w:sz w:val="28"/>
          <w:szCs w:val="28"/>
        </w:rPr>
        <w:t>H E C H O S</w:t>
      </w:r>
    </w:p>
    <w:p w:rsidR="00B7360C" w:rsidRPr="003B3432" w:rsidRDefault="00B7360C" w:rsidP="00B7360C">
      <w:pPr>
        <w:spacing w:after="0" w:line="360" w:lineRule="auto"/>
        <w:jc w:val="center"/>
        <w:rPr>
          <w:rFonts w:ascii="Bookman Old Style" w:eastAsia="Calibri" w:hAnsi="Bookman Old Style"/>
          <w:b/>
          <w:sz w:val="28"/>
          <w:szCs w:val="28"/>
        </w:rPr>
      </w:pPr>
    </w:p>
    <w:p w:rsidR="00B7360C" w:rsidRPr="006868FD" w:rsidRDefault="00B7360C" w:rsidP="00B7360C">
      <w:pPr>
        <w:widowControl w:val="0"/>
        <w:overflowPunct w:val="0"/>
        <w:autoSpaceDE w:val="0"/>
        <w:autoSpaceDN w:val="0"/>
        <w:adjustRightInd w:val="0"/>
        <w:spacing w:line="360" w:lineRule="auto"/>
        <w:ind w:firstLine="709"/>
        <w:jc w:val="both"/>
        <w:textAlignment w:val="baseline"/>
        <w:rPr>
          <w:rFonts w:ascii="Bookman Old Style" w:hAnsi="Bookman Old Style"/>
          <w:sz w:val="28"/>
          <w:szCs w:val="28"/>
        </w:rPr>
      </w:pPr>
      <w:r>
        <w:rPr>
          <w:rFonts w:ascii="Bookman Old Style" w:hAnsi="Bookman Old Style"/>
          <w:sz w:val="28"/>
          <w:szCs w:val="28"/>
        </w:rPr>
        <w:t xml:space="preserve">El 20 de octubre de 2020, en horas de la tarde, en el curso de una diligencia de allanamiento y registro realizada en una residencia del barrio Boston de Medellín, fueron incautados una pistola calibre 7.55 mm con proveedor con 4 cartuchos, 398.7 gramos de marihuana y 60.8 gramos de cocaína. Estos elementos fueron sometidos a valoración de balística forense y P.I.P.H., cuyos resultados arrojaron que el arma de fuego y los cartuchos son aptos para disparo y que las sustancias corresponden a cannabis, cocaína y derivados. Por estos hechos fue capturada </w:t>
      </w:r>
      <w:r>
        <w:rPr>
          <w:rFonts w:ascii="Bookman Old Style" w:hAnsi="Bookman Old Style"/>
          <w:b/>
          <w:bCs/>
          <w:sz w:val="28"/>
          <w:szCs w:val="28"/>
        </w:rPr>
        <w:t>OLGA PATRICIA BEDOYA BEDOYA</w:t>
      </w:r>
    </w:p>
    <w:p w:rsidR="00B7360C" w:rsidRDefault="00B7360C" w:rsidP="00B7360C">
      <w:pPr>
        <w:widowControl w:val="0"/>
        <w:overflowPunct w:val="0"/>
        <w:autoSpaceDE w:val="0"/>
        <w:autoSpaceDN w:val="0"/>
        <w:adjustRightInd w:val="0"/>
        <w:ind w:firstLine="709"/>
        <w:jc w:val="both"/>
        <w:textAlignment w:val="baseline"/>
        <w:rPr>
          <w:rFonts w:ascii="Bookman Old Style" w:hAnsi="Bookman Old Style"/>
          <w:sz w:val="28"/>
          <w:szCs w:val="28"/>
        </w:rPr>
      </w:pPr>
    </w:p>
    <w:p w:rsidR="00B7360C" w:rsidRDefault="00B7360C" w:rsidP="00B7360C">
      <w:pPr>
        <w:spacing w:after="0" w:line="360" w:lineRule="auto"/>
        <w:jc w:val="center"/>
        <w:rPr>
          <w:rFonts w:ascii="Bookman Old Style" w:hAnsi="Bookman Old Style"/>
          <w:b/>
          <w:sz w:val="28"/>
          <w:szCs w:val="28"/>
        </w:rPr>
      </w:pPr>
      <w:r>
        <w:rPr>
          <w:rFonts w:ascii="Bookman Old Style" w:hAnsi="Bookman Old Style"/>
          <w:b/>
          <w:sz w:val="28"/>
          <w:szCs w:val="28"/>
        </w:rPr>
        <w:t xml:space="preserve">ACTUACIÓN PROCESAL RELEVANTE </w:t>
      </w:r>
    </w:p>
    <w:p w:rsidR="00B7360C" w:rsidRDefault="00B7360C" w:rsidP="00B7360C">
      <w:pPr>
        <w:spacing w:line="240" w:lineRule="auto"/>
        <w:jc w:val="both"/>
        <w:rPr>
          <w:rFonts w:ascii="Bookman Old Style" w:hAnsi="Bookman Old Style"/>
          <w:b/>
          <w:sz w:val="28"/>
          <w:szCs w:val="28"/>
        </w:rPr>
      </w:pPr>
    </w:p>
    <w:p w:rsidR="00B7360C" w:rsidRDefault="00B7360C" w:rsidP="00B7360C">
      <w:pPr>
        <w:pStyle w:val="Textosinformato"/>
        <w:spacing w:line="360" w:lineRule="auto"/>
        <w:ind w:firstLine="709"/>
        <w:jc w:val="both"/>
        <w:rPr>
          <w:rFonts w:ascii="Bookman Old Style" w:hAnsi="Bookman Old Style"/>
          <w:bCs/>
          <w:sz w:val="28"/>
          <w:szCs w:val="28"/>
        </w:rPr>
      </w:pPr>
      <w:r w:rsidRPr="00BE069B">
        <w:rPr>
          <w:rFonts w:ascii="Bookman Old Style" w:hAnsi="Bookman Old Style"/>
          <w:b/>
          <w:sz w:val="28"/>
          <w:szCs w:val="28"/>
        </w:rPr>
        <w:t>1</w:t>
      </w:r>
      <w:r w:rsidRPr="00384EBE">
        <w:rPr>
          <w:rFonts w:ascii="Bookman Old Style" w:hAnsi="Bookman Old Style"/>
          <w:bCs/>
          <w:sz w:val="28"/>
          <w:szCs w:val="28"/>
        </w:rPr>
        <w:t>.</w:t>
      </w:r>
      <w:r>
        <w:rPr>
          <w:rFonts w:ascii="Bookman Old Style" w:hAnsi="Bookman Old Style"/>
          <w:bCs/>
          <w:sz w:val="28"/>
          <w:szCs w:val="28"/>
        </w:rPr>
        <w:t xml:space="preserve"> Entre el 21 y el 26 de octubre de 2020, ante el Juzgado 3º Penal Municipal con función de control de garantías de Medellín, se llevaron a cabo las audiencias preliminares de legalización de captura, registro y allanamiento, formulación de imputación y solicitud de medida de aseguramiento. La imputada </w:t>
      </w:r>
      <w:r>
        <w:rPr>
          <w:rFonts w:ascii="Bookman Old Style" w:hAnsi="Bookman Old Style"/>
          <w:b/>
          <w:sz w:val="28"/>
          <w:szCs w:val="28"/>
        </w:rPr>
        <w:t>OLGA PATRICIA BEDOYA BEDOYA</w:t>
      </w:r>
      <w:r>
        <w:rPr>
          <w:rFonts w:ascii="Bookman Old Style" w:hAnsi="Bookman Old Style"/>
          <w:bCs/>
          <w:sz w:val="28"/>
          <w:szCs w:val="28"/>
        </w:rPr>
        <w:t xml:space="preserve"> no aceptó los cargos.</w:t>
      </w:r>
    </w:p>
    <w:p w:rsidR="00B7360C" w:rsidRDefault="00B7360C" w:rsidP="00B7360C">
      <w:pPr>
        <w:pStyle w:val="Textosinformato"/>
        <w:spacing w:line="360" w:lineRule="auto"/>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Pr>
          <w:rFonts w:ascii="Bookman Old Style" w:hAnsi="Bookman Old Style" w:cs="Arial"/>
          <w:b/>
          <w:bCs/>
          <w:sz w:val="28"/>
          <w:szCs w:val="28"/>
        </w:rPr>
        <w:t xml:space="preserve">2. </w:t>
      </w:r>
      <w:r>
        <w:rPr>
          <w:rFonts w:ascii="Bookman Old Style" w:hAnsi="Bookman Old Style" w:cs="Arial"/>
          <w:sz w:val="28"/>
          <w:szCs w:val="28"/>
        </w:rPr>
        <w:t xml:space="preserve">El 18 de diciembre de 2020, la Fiscalía 26 Especializada de Medellín radicó ante los jueces de conocimiento el escrito de acusación, correspondiendo al Juzgado 25 Penal del Circuito.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sidRPr="00C773A5">
        <w:rPr>
          <w:rFonts w:ascii="Bookman Old Style" w:hAnsi="Bookman Old Style" w:cs="Arial"/>
          <w:b/>
          <w:bCs/>
          <w:sz w:val="28"/>
          <w:szCs w:val="28"/>
        </w:rPr>
        <w:t>3.</w:t>
      </w:r>
      <w:r>
        <w:rPr>
          <w:rFonts w:ascii="Bookman Old Style" w:hAnsi="Bookman Old Style" w:cs="Arial"/>
          <w:sz w:val="28"/>
          <w:szCs w:val="28"/>
        </w:rPr>
        <w:t xml:space="preserve"> El 16 de abril de 2021, instalada la audiencia de acusación, las partes anunciaron la celebración de un preacuerdo consistente en la aceptación de los cargos imputados, a cambio de una disminución punitiva equivalente a la prevista legalmente para el cómplice.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Pr>
          <w:rFonts w:ascii="Bookman Old Style" w:hAnsi="Bookman Old Style" w:cs="Arial"/>
          <w:sz w:val="28"/>
          <w:szCs w:val="28"/>
        </w:rPr>
        <w:t xml:space="preserve">La pena principal se acordó en 56 meses de prisión y multa acompañante de 4 salarios mínimos legales mensuales vigentes para el año 2020. No se hizo ningún acuerdo sobre las penas accesorias, especialmente sobre la privación del derecho a la tenencia y porte de arma </w:t>
      </w:r>
      <w:r>
        <w:rPr>
          <w:rFonts w:ascii="Bookman Old Style" w:hAnsi="Bookman Old Style" w:cs="Arial"/>
          <w:sz w:val="24"/>
          <w:szCs w:val="24"/>
        </w:rPr>
        <w:t xml:space="preserve">(artículo 49 del Código Penal). </w:t>
      </w:r>
      <w:r>
        <w:rPr>
          <w:rFonts w:ascii="Bookman Old Style" w:hAnsi="Bookman Old Style" w:cs="Arial"/>
          <w:sz w:val="28"/>
          <w:szCs w:val="28"/>
        </w:rPr>
        <w:t xml:space="preserv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Pr>
          <w:rFonts w:ascii="Bookman Old Style" w:hAnsi="Bookman Old Style" w:cs="Arial"/>
          <w:b/>
          <w:bCs/>
          <w:sz w:val="28"/>
          <w:szCs w:val="28"/>
        </w:rPr>
        <w:t xml:space="preserve">4. </w:t>
      </w:r>
      <w:r>
        <w:rPr>
          <w:rFonts w:ascii="Bookman Old Style" w:hAnsi="Bookman Old Style" w:cs="Arial"/>
          <w:sz w:val="28"/>
          <w:szCs w:val="28"/>
        </w:rPr>
        <w:t xml:space="preserve">El 29 de junio de 2021, el Juzgado 25 Penal del Circuito profirió la sentencia de primera instancia. La acusada fue condenada como autora responsable de los delitos de fabricación, tráfico y porte de armas de fuego o municiones </w:t>
      </w:r>
      <w:r w:rsidRPr="0086607F">
        <w:rPr>
          <w:rFonts w:ascii="Bookman Old Style" w:hAnsi="Bookman Old Style" w:cs="Arial"/>
          <w:sz w:val="24"/>
          <w:szCs w:val="24"/>
        </w:rPr>
        <w:t>(art. 365 C.P.)</w:t>
      </w:r>
      <w:r>
        <w:rPr>
          <w:rFonts w:ascii="Bookman Old Style" w:hAnsi="Bookman Old Style" w:cs="Arial"/>
        </w:rPr>
        <w:t xml:space="preserve">, </w:t>
      </w:r>
      <w:r>
        <w:rPr>
          <w:rFonts w:ascii="Bookman Old Style" w:hAnsi="Bookman Old Style" w:cs="Arial"/>
          <w:sz w:val="28"/>
          <w:szCs w:val="28"/>
        </w:rPr>
        <w:t xml:space="preserve">en concurso con tráfico, fabricación o porte de estupefacientes </w:t>
      </w:r>
      <w:r w:rsidRPr="0086607F">
        <w:rPr>
          <w:rFonts w:ascii="Bookman Old Style" w:hAnsi="Bookman Old Style" w:cs="Arial"/>
          <w:sz w:val="24"/>
          <w:szCs w:val="24"/>
        </w:rPr>
        <w:t>(art. 376 C.P.),</w:t>
      </w:r>
      <w:r>
        <w:rPr>
          <w:rFonts w:ascii="Bookman Old Style" w:hAnsi="Bookman Old Style" w:cs="Arial"/>
        </w:rPr>
        <w:t xml:space="preserve"> </w:t>
      </w:r>
      <w:r>
        <w:rPr>
          <w:rFonts w:ascii="Bookman Old Style" w:hAnsi="Bookman Old Style" w:cs="Arial"/>
          <w:sz w:val="28"/>
          <w:szCs w:val="28"/>
        </w:rPr>
        <w:t xml:space="preserve">al cumplimiento de las penas de prisión y multa en los términos acordados.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Pr>
          <w:rFonts w:ascii="Bookman Old Style" w:hAnsi="Bookman Old Style" w:cs="Arial"/>
          <w:sz w:val="28"/>
          <w:szCs w:val="28"/>
        </w:rPr>
        <w:t xml:space="preserve">También se le impusieron las penas accesorias de inhabilitación para el ejercicio de derechos y funciones públicas, y la privación del derecho a la tenencia y porte de </w:t>
      </w:r>
      <w:r>
        <w:rPr>
          <w:rFonts w:ascii="Bookman Old Style" w:hAnsi="Bookman Old Style" w:cs="Arial"/>
          <w:sz w:val="28"/>
          <w:szCs w:val="28"/>
        </w:rPr>
        <w:lastRenderedPageBreak/>
        <w:t xml:space="preserve">armas, ambas por un tiempo equivalente al de la pena principal.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Pr>
          <w:rFonts w:ascii="Bookman Old Style" w:hAnsi="Bookman Old Style" w:cs="Arial"/>
          <w:sz w:val="28"/>
          <w:szCs w:val="28"/>
        </w:rPr>
        <w:t xml:space="preserve">No se concedió la condena de ejecución condicional, ni la prisión domiciliaria. Tampoco la sustitución por enfermedad grave. El fallo fue apelado por la defensa.  </w:t>
      </w:r>
    </w:p>
    <w:p w:rsidR="00B7360C" w:rsidRPr="001456DB"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spacing w:after="0" w:line="360" w:lineRule="auto"/>
        <w:ind w:firstLine="709"/>
        <w:jc w:val="both"/>
        <w:rPr>
          <w:rFonts w:ascii="Bookman Old Style" w:hAnsi="Bookman Old Style"/>
          <w:bCs/>
          <w:sz w:val="28"/>
          <w:szCs w:val="28"/>
        </w:rPr>
      </w:pPr>
      <w:r>
        <w:rPr>
          <w:rFonts w:ascii="Bookman Old Style" w:hAnsi="Bookman Old Style"/>
          <w:b/>
          <w:sz w:val="28"/>
          <w:szCs w:val="28"/>
        </w:rPr>
        <w:t xml:space="preserve">5. </w:t>
      </w:r>
      <w:r>
        <w:rPr>
          <w:rFonts w:ascii="Bookman Old Style" w:hAnsi="Bookman Old Style"/>
          <w:bCs/>
          <w:sz w:val="28"/>
          <w:szCs w:val="28"/>
        </w:rPr>
        <w:t xml:space="preserve">El 27 de septiembre de 2021, la Sala de Decisión Penal del Tribunal Superior de Medellín confirmó en su integridad la sentencia impugnada. </w:t>
      </w:r>
    </w:p>
    <w:p w:rsidR="00B7360C" w:rsidRPr="001456DB" w:rsidRDefault="00B7360C" w:rsidP="00B7360C">
      <w:pPr>
        <w:spacing w:after="0" w:line="360" w:lineRule="auto"/>
        <w:ind w:firstLine="709"/>
        <w:jc w:val="both"/>
        <w:rPr>
          <w:rFonts w:ascii="Bookman Old Style" w:hAnsi="Bookman Old Style"/>
          <w:bCs/>
          <w:sz w:val="28"/>
          <w:szCs w:val="28"/>
        </w:rPr>
      </w:pPr>
      <w:r>
        <w:rPr>
          <w:rFonts w:ascii="Bookman Old Style" w:hAnsi="Bookman Old Style"/>
          <w:bCs/>
          <w:sz w:val="28"/>
          <w:szCs w:val="28"/>
        </w:rPr>
        <w:t xml:space="preserve"> </w:t>
      </w:r>
    </w:p>
    <w:p w:rsidR="00B7360C" w:rsidRDefault="00B7360C" w:rsidP="00B7360C">
      <w:pPr>
        <w:spacing w:line="360" w:lineRule="auto"/>
        <w:ind w:firstLine="709"/>
        <w:jc w:val="both"/>
        <w:rPr>
          <w:rFonts w:ascii="Bookman Old Style" w:hAnsi="Bookman Old Style"/>
          <w:bCs/>
          <w:sz w:val="28"/>
          <w:szCs w:val="28"/>
        </w:rPr>
      </w:pPr>
      <w:r>
        <w:rPr>
          <w:rFonts w:ascii="Bookman Old Style" w:hAnsi="Bookman Old Style"/>
          <w:b/>
          <w:sz w:val="28"/>
          <w:szCs w:val="28"/>
        </w:rPr>
        <w:t xml:space="preserve">6. </w:t>
      </w:r>
      <w:r>
        <w:rPr>
          <w:rFonts w:ascii="Bookman Old Style" w:hAnsi="Bookman Old Style"/>
          <w:bCs/>
          <w:sz w:val="28"/>
          <w:szCs w:val="28"/>
        </w:rPr>
        <w:t xml:space="preserve">Contra el fallo de segunda instancia la defensa interpuso y sustentó oportunamente el recurso extraordinario de casación. </w:t>
      </w:r>
    </w:p>
    <w:p w:rsidR="00B7360C" w:rsidRDefault="00B7360C" w:rsidP="00B7360C">
      <w:pPr>
        <w:spacing w:line="360" w:lineRule="auto"/>
        <w:ind w:firstLine="709"/>
        <w:jc w:val="both"/>
        <w:rPr>
          <w:rFonts w:ascii="Bookman Old Style" w:hAnsi="Bookman Old Style"/>
          <w:bCs/>
          <w:sz w:val="28"/>
          <w:szCs w:val="28"/>
        </w:rPr>
      </w:pPr>
      <w:r w:rsidRPr="00C773A5">
        <w:rPr>
          <w:rFonts w:ascii="Bookman Old Style" w:hAnsi="Bookman Old Style"/>
          <w:b/>
          <w:sz w:val="28"/>
          <w:szCs w:val="28"/>
        </w:rPr>
        <w:t>7.</w:t>
      </w:r>
      <w:r>
        <w:rPr>
          <w:rFonts w:ascii="Bookman Old Style" w:hAnsi="Bookman Old Style"/>
          <w:bCs/>
          <w:sz w:val="28"/>
          <w:szCs w:val="28"/>
        </w:rPr>
        <w:t xml:space="preserve"> Mediante auto del 12 de julio de 2023, la Sala inadmitió la demanda de casación y dispuso que, agotado el trámite de insistencia, regresaran las diligencias al despacho para examinar la legalidad de la pena accesoria de privación del derecho a la tenencia y porte de arma.  </w:t>
      </w:r>
    </w:p>
    <w:p w:rsidR="00B7360C" w:rsidRPr="00BB6E12" w:rsidRDefault="00B7360C" w:rsidP="00B7360C">
      <w:pPr>
        <w:spacing w:after="0" w:line="360" w:lineRule="auto"/>
        <w:ind w:firstLine="709"/>
        <w:jc w:val="both"/>
        <w:rPr>
          <w:rFonts w:ascii="Bookman Old Style" w:hAnsi="Bookman Old Style"/>
          <w:bCs/>
          <w:sz w:val="28"/>
          <w:szCs w:val="28"/>
        </w:rPr>
      </w:pPr>
    </w:p>
    <w:p w:rsidR="00B7360C" w:rsidRDefault="00B7360C" w:rsidP="00B7360C">
      <w:pPr>
        <w:pStyle w:val="Textosinformato"/>
        <w:spacing w:line="360" w:lineRule="auto"/>
        <w:ind w:firstLine="709"/>
        <w:jc w:val="center"/>
        <w:rPr>
          <w:rFonts w:ascii="Bookman Old Style" w:hAnsi="Bookman Old Style" w:cs="Arial"/>
          <w:sz w:val="28"/>
          <w:szCs w:val="28"/>
        </w:rPr>
      </w:pPr>
      <w:r w:rsidRPr="00230BCF">
        <w:rPr>
          <w:rFonts w:ascii="Bookman Old Style" w:hAnsi="Bookman Old Style"/>
          <w:b/>
          <w:spacing w:val="-3"/>
          <w:sz w:val="28"/>
          <w:szCs w:val="28"/>
        </w:rPr>
        <w:t>CONSIDERACIONES</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sidRPr="00D70738">
        <w:rPr>
          <w:rFonts w:ascii="Bookman Old Style" w:hAnsi="Bookman Old Style"/>
          <w:color w:val="000000"/>
          <w:spacing w:val="-3"/>
          <w:sz w:val="28"/>
          <w:szCs w:val="28"/>
        </w:rPr>
        <w:t>El Juzgado</w:t>
      </w:r>
      <w:r>
        <w:rPr>
          <w:rFonts w:ascii="Bookman Old Style" w:hAnsi="Bookman Old Style"/>
          <w:color w:val="000000"/>
          <w:spacing w:val="-3"/>
          <w:sz w:val="28"/>
          <w:szCs w:val="28"/>
        </w:rPr>
        <w:t xml:space="preserve"> 25</w:t>
      </w:r>
      <w:r w:rsidRPr="00D70738">
        <w:rPr>
          <w:rFonts w:ascii="Bookman Old Style" w:hAnsi="Bookman Old Style"/>
          <w:color w:val="000000"/>
          <w:spacing w:val="-3"/>
          <w:sz w:val="28"/>
          <w:szCs w:val="28"/>
        </w:rPr>
        <w:t xml:space="preserve"> Penal del Circuito Especializado con Funciones de Conocimiento de</w:t>
      </w:r>
      <w:r>
        <w:rPr>
          <w:rFonts w:ascii="Bookman Old Style" w:hAnsi="Bookman Old Style"/>
          <w:color w:val="000000"/>
          <w:spacing w:val="-3"/>
          <w:sz w:val="28"/>
          <w:szCs w:val="28"/>
        </w:rPr>
        <w:t xml:space="preserve"> Medellín,</w:t>
      </w:r>
      <w:r w:rsidRPr="00D70738">
        <w:rPr>
          <w:rFonts w:ascii="Bookman Old Style" w:hAnsi="Bookman Old Style"/>
          <w:color w:val="000000"/>
          <w:spacing w:val="-3"/>
          <w:sz w:val="28"/>
          <w:szCs w:val="28"/>
        </w:rPr>
        <w:t xml:space="preserve"> impuso al condenado, entre otras penas, la accesoria consistente en privación del derecho a la tenencia y porte de armas</w:t>
      </w:r>
      <w:r>
        <w:rPr>
          <w:rFonts w:ascii="Bookman Old Style" w:hAnsi="Bookman Old Style"/>
          <w:color w:val="000000"/>
          <w:spacing w:val="-3"/>
          <w:sz w:val="28"/>
          <w:szCs w:val="28"/>
        </w:rPr>
        <w:t>,</w:t>
      </w:r>
      <w:r w:rsidRPr="00D70738">
        <w:rPr>
          <w:rFonts w:ascii="Bookman Old Style" w:hAnsi="Bookman Old Style"/>
          <w:color w:val="000000"/>
          <w:spacing w:val="-3"/>
          <w:sz w:val="28"/>
          <w:szCs w:val="28"/>
        </w:rPr>
        <w:t xml:space="preserve"> por un tiempo igual al de la pena principal,</w:t>
      </w:r>
      <w:r>
        <w:rPr>
          <w:rFonts w:ascii="Bookman Old Style" w:hAnsi="Bookman Old Style"/>
          <w:color w:val="000000"/>
          <w:spacing w:val="-3"/>
          <w:sz w:val="28"/>
          <w:szCs w:val="28"/>
        </w:rPr>
        <w:t xml:space="preserve"> fijada en cincuenta y seis (56) meses. </w:t>
      </w:r>
      <w:r w:rsidRPr="00D70738">
        <w:rPr>
          <w:rFonts w:ascii="Bookman Old Style" w:hAnsi="Bookman Old Style"/>
          <w:color w:val="000000"/>
          <w:spacing w:val="-3"/>
          <w:sz w:val="28"/>
          <w:szCs w:val="28"/>
        </w:rPr>
        <w:t>Esta determinación fue confirmada por el Tribunal Superior</w:t>
      </w:r>
      <w:r>
        <w:rPr>
          <w:rFonts w:ascii="Bookman Old Style" w:hAnsi="Bookman Old Style"/>
          <w:color w:val="000000"/>
          <w:spacing w:val="-3"/>
          <w:sz w:val="28"/>
          <w:szCs w:val="28"/>
        </w:rPr>
        <w:t xml:space="preserve"> en </w:t>
      </w:r>
      <w:r w:rsidRPr="00D70738">
        <w:rPr>
          <w:rFonts w:ascii="Bookman Old Style" w:hAnsi="Bookman Old Style"/>
          <w:color w:val="000000"/>
          <w:spacing w:val="-3"/>
          <w:sz w:val="28"/>
          <w:szCs w:val="28"/>
        </w:rPr>
        <w:t>segunda instancia.</w:t>
      </w:r>
      <w:r w:rsidRPr="00946267">
        <w:rPr>
          <w:rFonts w:ascii="Bookman Old Style" w:hAnsi="Bookman Old Style" w:cs="Arial"/>
          <w:sz w:val="28"/>
          <w:szCs w:val="28"/>
        </w:rPr>
        <w:t xml:space="preserv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sidRPr="00D70738">
        <w:rPr>
          <w:rFonts w:ascii="Bookman Old Style" w:hAnsi="Bookman Old Style"/>
          <w:color w:val="000000"/>
          <w:spacing w:val="-3"/>
          <w:sz w:val="28"/>
          <w:szCs w:val="28"/>
        </w:rPr>
        <w:t xml:space="preserve">Respecto de esta pena accesoria, el artículo 51 del Código Penal </w:t>
      </w:r>
      <w:r w:rsidRPr="00FA759D">
        <w:rPr>
          <w:rFonts w:ascii="Bookman Old Style" w:hAnsi="Bookman Old Style"/>
          <w:color w:val="000000"/>
          <w:spacing w:val="-3"/>
          <w:sz w:val="24"/>
          <w:szCs w:val="24"/>
        </w:rPr>
        <w:t>(Ley 599 de 2000)</w:t>
      </w:r>
      <w:r w:rsidRPr="00D70738">
        <w:rPr>
          <w:rFonts w:ascii="Bookman Old Style" w:hAnsi="Bookman Old Style"/>
          <w:color w:val="000000"/>
          <w:spacing w:val="-3"/>
          <w:sz w:val="28"/>
          <w:szCs w:val="28"/>
        </w:rPr>
        <w:t xml:space="preserve"> establece que tendrá una duración de un (1) año a quince (15) años. Por su parte, el artículo 59 </w:t>
      </w:r>
      <w:r w:rsidRPr="00D70738">
        <w:rPr>
          <w:rFonts w:ascii="Bookman Old Style" w:hAnsi="Bookman Old Style"/>
          <w:i/>
          <w:iCs/>
          <w:color w:val="000000"/>
          <w:spacing w:val="-3"/>
          <w:sz w:val="28"/>
          <w:szCs w:val="28"/>
        </w:rPr>
        <w:t>ejusdem</w:t>
      </w:r>
      <w:r>
        <w:rPr>
          <w:rFonts w:ascii="Bookman Old Style" w:hAnsi="Bookman Old Style"/>
          <w:color w:val="000000"/>
          <w:spacing w:val="-3"/>
          <w:sz w:val="28"/>
          <w:szCs w:val="28"/>
        </w:rPr>
        <w:t>,</w:t>
      </w:r>
      <w:r w:rsidRPr="00D70738">
        <w:rPr>
          <w:rFonts w:ascii="Bookman Old Style" w:hAnsi="Bookman Old Style"/>
          <w:color w:val="000000"/>
          <w:spacing w:val="-3"/>
          <w:sz w:val="28"/>
          <w:szCs w:val="28"/>
        </w:rPr>
        <w:t xml:space="preserve"> consagra que en toda sentencia se debe fundamentar la determinación cualitativa y cuantitativa de la pena.</w:t>
      </w:r>
      <w:r w:rsidRPr="00946267">
        <w:rPr>
          <w:rFonts w:ascii="Bookman Old Style" w:hAnsi="Bookman Old Style" w:cs="Arial"/>
          <w:sz w:val="28"/>
          <w:szCs w:val="28"/>
        </w:rPr>
        <w:t xml:space="preserv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sidRPr="00D70738">
        <w:rPr>
          <w:rFonts w:ascii="Bookman Old Style" w:hAnsi="Bookman Old Style"/>
          <w:color w:val="000000"/>
          <w:spacing w:val="-3"/>
          <w:sz w:val="28"/>
          <w:szCs w:val="28"/>
        </w:rPr>
        <w:t xml:space="preserve">Esto ha llevado a la Sala a precisar que la determinación de la cantidad a imponer de esta pena accesoria, debe sujetarse a las reglas de </w:t>
      </w:r>
      <w:r w:rsidRPr="00D70738">
        <w:rPr>
          <w:rFonts w:ascii="Bookman Old Style" w:hAnsi="Bookman Old Style"/>
          <w:color w:val="000000"/>
          <w:spacing w:val="-3"/>
          <w:sz w:val="28"/>
          <w:szCs w:val="28"/>
          <w:lang w:val="es-ES_tradnl"/>
        </w:rPr>
        <w:t>individualización</w:t>
      </w:r>
      <w:r w:rsidRPr="00D70738">
        <w:rPr>
          <w:rFonts w:ascii="Bookman Old Style" w:hAnsi="Bookman Old Style"/>
          <w:color w:val="000000"/>
          <w:spacing w:val="-3"/>
          <w:sz w:val="28"/>
          <w:szCs w:val="28"/>
        </w:rPr>
        <w:t xml:space="preserve"> previstas en el artículo 61 del Código Penal</w:t>
      </w:r>
      <w:r w:rsidRPr="00D70738">
        <w:rPr>
          <w:rStyle w:val="Refdenotaalpie"/>
          <w:rFonts w:ascii="Bookman Old Style" w:hAnsi="Bookman Old Style"/>
          <w:color w:val="000000"/>
          <w:spacing w:val="-3"/>
          <w:sz w:val="28"/>
          <w:szCs w:val="28"/>
        </w:rPr>
        <w:footnoteReference w:id="1"/>
      </w:r>
      <w:r w:rsidRPr="00D70738">
        <w:rPr>
          <w:rFonts w:ascii="Bookman Old Style" w:hAnsi="Bookman Old Style"/>
          <w:color w:val="000000"/>
          <w:spacing w:val="-3"/>
          <w:sz w:val="28"/>
          <w:szCs w:val="28"/>
        </w:rPr>
        <w:t>.</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Pr>
          <w:rFonts w:ascii="Bookman Old Style" w:hAnsi="Bookman Old Style"/>
          <w:bCs/>
          <w:color w:val="000000"/>
          <w:spacing w:val="-6"/>
          <w:sz w:val="28"/>
          <w:szCs w:val="28"/>
        </w:rPr>
        <w:t>E</w:t>
      </w:r>
      <w:r w:rsidRPr="00D70738">
        <w:rPr>
          <w:rFonts w:ascii="Bookman Old Style" w:hAnsi="Bookman Old Style"/>
          <w:bCs/>
          <w:color w:val="000000"/>
          <w:spacing w:val="-6"/>
          <w:sz w:val="28"/>
          <w:szCs w:val="28"/>
        </w:rPr>
        <w:t xml:space="preserve">n el caso bajo examen, </w:t>
      </w:r>
      <w:r>
        <w:rPr>
          <w:rFonts w:ascii="Bookman Old Style" w:hAnsi="Bookman Old Style"/>
          <w:bCs/>
          <w:color w:val="000000"/>
          <w:spacing w:val="-6"/>
          <w:sz w:val="28"/>
          <w:szCs w:val="28"/>
        </w:rPr>
        <w:t xml:space="preserve">al hacerlo, </w:t>
      </w:r>
      <w:r w:rsidRPr="00D70738">
        <w:rPr>
          <w:rFonts w:ascii="Bookman Old Style" w:hAnsi="Bookman Old Style"/>
          <w:bCs/>
          <w:color w:val="000000"/>
          <w:spacing w:val="-6"/>
          <w:sz w:val="28"/>
          <w:szCs w:val="28"/>
        </w:rPr>
        <w:t>no se tuvo en cuenta el sistema de cuartos</w:t>
      </w:r>
      <w:r>
        <w:rPr>
          <w:rFonts w:ascii="Bookman Old Style" w:hAnsi="Bookman Old Style"/>
          <w:bCs/>
          <w:color w:val="000000"/>
          <w:spacing w:val="-6"/>
          <w:sz w:val="28"/>
          <w:szCs w:val="28"/>
        </w:rPr>
        <w:t>,</w:t>
      </w:r>
      <w:r w:rsidRPr="00D70738">
        <w:rPr>
          <w:rFonts w:ascii="Bookman Old Style" w:hAnsi="Bookman Old Style"/>
          <w:bCs/>
          <w:color w:val="000000"/>
          <w:spacing w:val="-6"/>
          <w:sz w:val="28"/>
          <w:szCs w:val="28"/>
        </w:rPr>
        <w:t xml:space="preserve"> sino que se </w:t>
      </w:r>
      <w:r>
        <w:rPr>
          <w:rFonts w:ascii="Bookman Old Style" w:hAnsi="Bookman Old Style"/>
          <w:bCs/>
          <w:color w:val="000000"/>
          <w:spacing w:val="-6"/>
          <w:sz w:val="28"/>
          <w:szCs w:val="28"/>
        </w:rPr>
        <w:t>tasó en el mismo</w:t>
      </w:r>
      <w:r w:rsidRPr="00D70738">
        <w:rPr>
          <w:rFonts w:ascii="Bookman Old Style" w:hAnsi="Bookman Old Style"/>
          <w:bCs/>
          <w:color w:val="000000"/>
          <w:spacing w:val="-6"/>
          <w:sz w:val="28"/>
          <w:szCs w:val="28"/>
        </w:rPr>
        <w:t xml:space="preserve"> monto de la pena de prisión, al cual</w:t>
      </w:r>
      <w:r>
        <w:rPr>
          <w:rFonts w:ascii="Bookman Old Style" w:hAnsi="Bookman Old Style"/>
          <w:bCs/>
          <w:color w:val="000000"/>
          <w:spacing w:val="-6"/>
          <w:sz w:val="28"/>
          <w:szCs w:val="28"/>
        </w:rPr>
        <w:t xml:space="preserve"> indebidamente</w:t>
      </w:r>
      <w:r w:rsidRPr="00D70738">
        <w:rPr>
          <w:rFonts w:ascii="Bookman Old Style" w:hAnsi="Bookman Old Style"/>
          <w:bCs/>
          <w:color w:val="000000"/>
          <w:spacing w:val="-6"/>
          <w:sz w:val="28"/>
          <w:szCs w:val="28"/>
        </w:rPr>
        <w:t xml:space="preserve"> se equiparó</w:t>
      </w:r>
      <w:r>
        <w:rPr>
          <w:rFonts w:ascii="Bookman Old Style" w:hAnsi="Bookman Old Style"/>
          <w:bCs/>
          <w:color w:val="000000"/>
          <w:spacing w:val="-6"/>
          <w:sz w:val="28"/>
          <w:szCs w:val="28"/>
        </w:rPr>
        <w:t>, imponiéndose al condenado una sanción muy superior a la que legalmente corresponde.</w:t>
      </w:r>
      <w:r w:rsidRPr="00946267">
        <w:rPr>
          <w:rFonts w:ascii="Bookman Old Style" w:hAnsi="Bookman Old Style" w:cs="Arial"/>
          <w:sz w:val="28"/>
          <w:szCs w:val="28"/>
        </w:rPr>
        <w:t xml:space="preserv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spacing w:line="360" w:lineRule="auto"/>
        <w:ind w:firstLine="709"/>
        <w:jc w:val="both"/>
        <w:rPr>
          <w:rFonts w:ascii="Bookman Old Style" w:hAnsi="Bookman Old Style"/>
          <w:bCs/>
          <w:color w:val="000000"/>
          <w:spacing w:val="-6"/>
          <w:sz w:val="28"/>
          <w:szCs w:val="28"/>
        </w:rPr>
      </w:pPr>
      <w:r>
        <w:rPr>
          <w:rFonts w:ascii="Bookman Old Style" w:hAnsi="Bookman Old Style"/>
          <w:bCs/>
          <w:color w:val="000000"/>
          <w:spacing w:val="-6"/>
          <w:sz w:val="28"/>
          <w:szCs w:val="28"/>
        </w:rPr>
        <w:t xml:space="preserve">El yerro del juez de conocimiento quedó consignado en la sentencia de la siguiente manera: </w:t>
      </w:r>
    </w:p>
    <w:p w:rsidR="00B7360C" w:rsidRDefault="00B7360C" w:rsidP="00B7360C">
      <w:pPr>
        <w:pStyle w:val="Textosinformato"/>
        <w:spacing w:line="360" w:lineRule="auto"/>
        <w:ind w:left="708" w:firstLine="1"/>
        <w:jc w:val="both"/>
        <w:rPr>
          <w:rFonts w:ascii="Bookman Old Style" w:hAnsi="Bookman Old Style" w:cs="Arial"/>
          <w:sz w:val="28"/>
          <w:szCs w:val="28"/>
        </w:rPr>
      </w:pPr>
      <w:r>
        <w:rPr>
          <w:rFonts w:ascii="Bookman Old Style" w:hAnsi="Bookman Old Style"/>
          <w:bCs/>
          <w:i/>
          <w:iCs/>
          <w:color w:val="000000"/>
          <w:spacing w:val="-6"/>
          <w:sz w:val="24"/>
          <w:szCs w:val="24"/>
        </w:rPr>
        <w:t xml:space="preserve">No se recurre al sistema de cuartos en razón a que las partes en el acuerdo aprobado tasaron la pena imponible en CINCUENTA Y SEIS (56) MESES DE PRISIÓN, multa de cuatro (4) salarios mínimos legales mensuales vigentes del año 2020, así como la accesoria de inhabilitación para el ejercicio de derechos y funciones públicas de que trata el artículo 52 del CP y la privación del derecho a la tenencia y porte de armas por idéntico término de la pena privativa de la libertad; estos montos que comulgan con los principios de legalidad de la pena y que respetan las garantías fundamentales sustanciales y </w:t>
      </w:r>
      <w:r>
        <w:rPr>
          <w:rFonts w:ascii="Bookman Old Style" w:hAnsi="Bookman Old Style"/>
          <w:bCs/>
          <w:i/>
          <w:iCs/>
          <w:color w:val="000000"/>
          <w:spacing w:val="-6"/>
          <w:sz w:val="24"/>
          <w:szCs w:val="24"/>
        </w:rPr>
        <w:lastRenderedPageBreak/>
        <w:t xml:space="preserve">procesales. La punibilidad reducida atiende a las consecuencias del acuerdo judicialmente avalado.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bCs/>
          <w:color w:val="000000"/>
          <w:spacing w:val="-6"/>
          <w:sz w:val="28"/>
          <w:szCs w:val="28"/>
        </w:rPr>
      </w:pPr>
      <w:r>
        <w:rPr>
          <w:rFonts w:ascii="Bookman Old Style" w:hAnsi="Bookman Old Style"/>
          <w:bCs/>
          <w:color w:val="000000"/>
          <w:spacing w:val="-6"/>
          <w:sz w:val="28"/>
          <w:szCs w:val="28"/>
        </w:rPr>
        <w:t xml:space="preserve">Contrario a lo expresado por el juzgador, la Sala encuentra que: </w:t>
      </w:r>
      <w:r w:rsidRPr="005D7E3A">
        <w:rPr>
          <w:rFonts w:ascii="Bookman Old Style" w:hAnsi="Bookman Old Style"/>
          <w:b/>
          <w:color w:val="000000"/>
          <w:spacing w:val="-6"/>
          <w:sz w:val="28"/>
          <w:szCs w:val="28"/>
        </w:rPr>
        <w:t>(i)</w:t>
      </w:r>
      <w:r>
        <w:rPr>
          <w:rFonts w:ascii="Bookman Old Style" w:hAnsi="Bookman Old Style"/>
          <w:bCs/>
          <w:color w:val="000000"/>
          <w:spacing w:val="-6"/>
          <w:sz w:val="28"/>
          <w:szCs w:val="28"/>
        </w:rPr>
        <w:t xml:space="preserve"> el monto de la pena accesoria de privación del derecho a la tenencia y porte de arma no fue determinado en el acuerdo, y </w:t>
      </w:r>
      <w:r w:rsidRPr="005D7E3A">
        <w:rPr>
          <w:rFonts w:ascii="Bookman Old Style" w:hAnsi="Bookman Old Style"/>
          <w:b/>
          <w:color w:val="000000"/>
          <w:spacing w:val="-6"/>
          <w:sz w:val="28"/>
          <w:szCs w:val="28"/>
        </w:rPr>
        <w:t>(ii)</w:t>
      </w:r>
      <w:r>
        <w:rPr>
          <w:rFonts w:ascii="Bookman Old Style" w:hAnsi="Bookman Old Style"/>
          <w:bCs/>
          <w:color w:val="000000"/>
          <w:spacing w:val="-6"/>
          <w:sz w:val="28"/>
          <w:szCs w:val="28"/>
        </w:rPr>
        <w:t xml:space="preserve"> de haberlo sido en el monto impuesto, sería ilegal por superar los límites legalmente previstos para la misma.     </w:t>
      </w:r>
    </w:p>
    <w:p w:rsidR="00B7360C" w:rsidRDefault="00B7360C" w:rsidP="00B7360C">
      <w:pPr>
        <w:pStyle w:val="Textosinformato"/>
        <w:spacing w:line="360" w:lineRule="auto"/>
        <w:ind w:firstLine="709"/>
        <w:jc w:val="both"/>
        <w:rPr>
          <w:rFonts w:ascii="Bookman Old Style" w:hAnsi="Bookman Old Style"/>
          <w:bCs/>
          <w:color w:val="000000"/>
          <w:spacing w:val="-6"/>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sidRPr="00D70738">
        <w:rPr>
          <w:rFonts w:ascii="Bookman Old Style" w:hAnsi="Bookman Old Style"/>
          <w:bCs/>
          <w:color w:val="000000"/>
          <w:spacing w:val="-6"/>
          <w:sz w:val="28"/>
          <w:szCs w:val="28"/>
        </w:rPr>
        <w:t>De esta manera, los juzgadores incurrieron en violación directa de la ley sustancial, por falta de aplicación de la norma</w:t>
      </w:r>
      <w:r>
        <w:rPr>
          <w:rFonts w:ascii="Bookman Old Style" w:hAnsi="Bookman Old Style"/>
          <w:bCs/>
          <w:color w:val="000000"/>
          <w:spacing w:val="-6"/>
          <w:sz w:val="28"/>
          <w:szCs w:val="28"/>
        </w:rPr>
        <w:t xml:space="preserve"> prevista en el artículo 61 del Código Penal. E</w:t>
      </w:r>
      <w:r w:rsidRPr="00D70738">
        <w:rPr>
          <w:rFonts w:ascii="Bookman Old Style" w:hAnsi="Bookman Old Style"/>
          <w:bCs/>
          <w:color w:val="000000"/>
          <w:spacing w:val="-6"/>
          <w:sz w:val="28"/>
          <w:szCs w:val="28"/>
        </w:rPr>
        <w:t>rror que</w:t>
      </w:r>
      <w:r>
        <w:rPr>
          <w:rFonts w:ascii="Bookman Old Style" w:hAnsi="Bookman Old Style"/>
          <w:bCs/>
          <w:color w:val="000000"/>
          <w:spacing w:val="-6"/>
          <w:sz w:val="28"/>
          <w:szCs w:val="28"/>
        </w:rPr>
        <w:t>,</w:t>
      </w:r>
      <w:r w:rsidRPr="00D70738">
        <w:rPr>
          <w:rFonts w:ascii="Bookman Old Style" w:hAnsi="Bookman Old Style"/>
          <w:bCs/>
          <w:color w:val="000000"/>
          <w:spacing w:val="-6"/>
          <w:sz w:val="28"/>
          <w:szCs w:val="28"/>
        </w:rPr>
        <w:t xml:space="preserve"> por ser trascendente, impone la casación parcial del fallo para ajustar la pena a la legalidad.</w:t>
      </w:r>
      <w:r w:rsidRPr="00946267">
        <w:rPr>
          <w:rFonts w:ascii="Bookman Old Style" w:hAnsi="Bookman Old Style" w:cs="Arial"/>
          <w:sz w:val="28"/>
          <w:szCs w:val="28"/>
        </w:rPr>
        <w:t xml:space="preserv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Pr="00D70738" w:rsidRDefault="00B7360C" w:rsidP="00B7360C">
      <w:pPr>
        <w:spacing w:line="360" w:lineRule="auto"/>
        <w:ind w:firstLine="709"/>
        <w:jc w:val="both"/>
        <w:rPr>
          <w:rFonts w:ascii="Bookman Old Style" w:hAnsi="Bookman Old Style"/>
          <w:bCs/>
          <w:color w:val="000000"/>
          <w:spacing w:val="-6"/>
          <w:sz w:val="28"/>
          <w:szCs w:val="28"/>
        </w:rPr>
      </w:pPr>
      <w:r w:rsidRPr="00D70738">
        <w:rPr>
          <w:rFonts w:ascii="Bookman Old Style" w:hAnsi="Bookman Old Style"/>
          <w:bCs/>
          <w:color w:val="000000"/>
          <w:spacing w:val="-6"/>
          <w:sz w:val="28"/>
          <w:szCs w:val="28"/>
        </w:rPr>
        <w:t xml:space="preserve">Los cuartos punitivos para esta </w:t>
      </w:r>
      <w:r>
        <w:rPr>
          <w:rFonts w:ascii="Bookman Old Style" w:hAnsi="Bookman Old Style"/>
          <w:bCs/>
          <w:color w:val="000000"/>
          <w:spacing w:val="-6"/>
          <w:sz w:val="28"/>
          <w:szCs w:val="28"/>
        </w:rPr>
        <w:t>sanción</w:t>
      </w:r>
      <w:r w:rsidRPr="00D70738">
        <w:rPr>
          <w:rFonts w:ascii="Bookman Old Style" w:hAnsi="Bookman Old Style"/>
          <w:bCs/>
          <w:color w:val="000000"/>
          <w:spacing w:val="-6"/>
          <w:sz w:val="28"/>
          <w:szCs w:val="28"/>
        </w:rPr>
        <w:t xml:space="preserve">, de acuerdo con los extremos fijados en el artículo 51, son los siguientes: cuarto mínimo de 12 a 54 meses; cuartos medios de 54 a 96 </w:t>
      </w:r>
      <w:r>
        <w:rPr>
          <w:rFonts w:ascii="Bookman Old Style" w:hAnsi="Bookman Old Style"/>
          <w:bCs/>
          <w:color w:val="000000"/>
          <w:spacing w:val="-6"/>
          <w:sz w:val="28"/>
          <w:szCs w:val="28"/>
        </w:rPr>
        <w:t xml:space="preserve">meses </w:t>
      </w:r>
      <w:r w:rsidRPr="00D70738">
        <w:rPr>
          <w:rFonts w:ascii="Bookman Old Style" w:hAnsi="Bookman Old Style"/>
          <w:bCs/>
          <w:color w:val="000000"/>
          <w:spacing w:val="-6"/>
          <w:sz w:val="28"/>
          <w:szCs w:val="28"/>
        </w:rPr>
        <w:t>y de 96 a</w:t>
      </w:r>
      <w:r>
        <w:rPr>
          <w:rFonts w:ascii="Bookman Old Style" w:hAnsi="Bookman Old Style"/>
          <w:bCs/>
          <w:color w:val="000000"/>
          <w:spacing w:val="-6"/>
          <w:sz w:val="28"/>
          <w:szCs w:val="28"/>
        </w:rPr>
        <w:t xml:space="preserve"> </w:t>
      </w:r>
      <w:r w:rsidRPr="00D70738">
        <w:rPr>
          <w:rFonts w:ascii="Bookman Old Style" w:hAnsi="Bookman Old Style"/>
          <w:bCs/>
          <w:color w:val="000000"/>
          <w:spacing w:val="-6"/>
          <w:sz w:val="28"/>
          <w:szCs w:val="28"/>
        </w:rPr>
        <w:t>138 meses; y cuarto máximo de 138</w:t>
      </w:r>
      <w:r>
        <w:rPr>
          <w:rFonts w:ascii="Bookman Old Style" w:hAnsi="Bookman Old Style"/>
          <w:bCs/>
          <w:color w:val="000000"/>
          <w:spacing w:val="-6"/>
          <w:sz w:val="28"/>
          <w:szCs w:val="28"/>
        </w:rPr>
        <w:t xml:space="preserve"> </w:t>
      </w:r>
      <w:r w:rsidRPr="00D70738">
        <w:rPr>
          <w:rFonts w:ascii="Bookman Old Style" w:hAnsi="Bookman Old Style"/>
          <w:bCs/>
          <w:color w:val="000000"/>
          <w:spacing w:val="-6"/>
          <w:sz w:val="28"/>
          <w:szCs w:val="28"/>
        </w:rPr>
        <w:t>a 180 meses.</w:t>
      </w:r>
    </w:p>
    <w:p w:rsidR="00B7360C" w:rsidRDefault="00B7360C" w:rsidP="00B7360C">
      <w:pPr>
        <w:pStyle w:val="Textosinformato"/>
        <w:spacing w:line="360" w:lineRule="auto"/>
        <w:ind w:firstLine="709"/>
        <w:jc w:val="both"/>
        <w:rPr>
          <w:rFonts w:ascii="Bookman Old Style" w:hAnsi="Bookman Old Style" w:cs="Arial"/>
          <w:sz w:val="28"/>
          <w:szCs w:val="28"/>
        </w:rPr>
      </w:pPr>
      <w:r>
        <w:rPr>
          <w:rFonts w:ascii="Bookman Old Style" w:hAnsi="Bookman Old Style" w:cs="Arial"/>
          <w:color w:val="000000"/>
          <w:sz w:val="28"/>
          <w:szCs w:val="28"/>
        </w:rPr>
        <w:t>Las penas principales objeto del preacuerdo aprobado por el juez de conocimiento, se tasaron con base en el mínimo legal previsto para el delito de fabricación, tráfico y porte de armas de fuego o municiones.</w:t>
      </w:r>
      <w:r w:rsidRPr="00946267">
        <w:rPr>
          <w:rFonts w:ascii="Bookman Old Style" w:hAnsi="Bookman Old Style" w:cs="Arial"/>
          <w:sz w:val="28"/>
          <w:szCs w:val="28"/>
        </w:rPr>
        <w:t xml:space="preserv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sidRPr="00D70738">
        <w:rPr>
          <w:rFonts w:ascii="Bookman Old Style" w:hAnsi="Bookman Old Style"/>
          <w:bCs/>
          <w:color w:val="000000"/>
          <w:spacing w:val="-6"/>
          <w:sz w:val="28"/>
          <w:szCs w:val="28"/>
        </w:rPr>
        <w:t>Siguiendo el mismo criterio</w:t>
      </w:r>
      <w:r>
        <w:rPr>
          <w:rFonts w:ascii="Bookman Old Style" w:hAnsi="Bookman Old Style"/>
          <w:bCs/>
          <w:color w:val="000000"/>
          <w:spacing w:val="-6"/>
          <w:sz w:val="28"/>
          <w:szCs w:val="28"/>
        </w:rPr>
        <w:t xml:space="preserve">, para </w:t>
      </w:r>
      <w:r w:rsidRPr="00D70738">
        <w:rPr>
          <w:rFonts w:ascii="Bookman Old Style" w:hAnsi="Bookman Old Style"/>
          <w:bCs/>
          <w:color w:val="000000"/>
          <w:spacing w:val="-6"/>
          <w:sz w:val="28"/>
          <w:szCs w:val="28"/>
        </w:rPr>
        <w:t>la imposición de la pena accesoria de privación del derecho a la tenencia o porte de armas, se concluye que el monto a imponer en este caso es de un (1) año, que corresponde al mínimo legal.</w:t>
      </w:r>
      <w:r w:rsidRPr="00946267">
        <w:rPr>
          <w:rFonts w:ascii="Bookman Old Style" w:hAnsi="Bookman Old Style" w:cs="Arial"/>
          <w:sz w:val="28"/>
          <w:szCs w:val="28"/>
        </w:rPr>
        <w:t xml:space="preserv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Pr>
          <w:rFonts w:ascii="Bookman Old Style" w:hAnsi="Bookman Old Style"/>
          <w:bCs/>
          <w:color w:val="000000"/>
          <w:spacing w:val="-6"/>
          <w:sz w:val="28"/>
          <w:szCs w:val="28"/>
        </w:rPr>
        <w:lastRenderedPageBreak/>
        <w:t>Pero como le fue reconocida la rebaja prevista para el cómplice, por haber suscrito preacuerdo, la Sala aplicará la rebaja máxima de la mitad, conforme lo dispone el artículo 30 inciso tercero del Código Penal, para dejar la pena en un monto de seis (6) meses.</w:t>
      </w:r>
      <w:r w:rsidRPr="00946267">
        <w:rPr>
          <w:rFonts w:ascii="Bookman Old Style" w:hAnsi="Bookman Old Style" w:cs="Arial"/>
          <w:sz w:val="28"/>
          <w:szCs w:val="28"/>
        </w:rPr>
        <w:t xml:space="preserv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sidRPr="00D70738">
        <w:rPr>
          <w:rFonts w:ascii="Bookman Old Style" w:hAnsi="Bookman Old Style"/>
          <w:bCs/>
          <w:color w:val="000000"/>
          <w:spacing w:val="-6"/>
          <w:sz w:val="28"/>
          <w:szCs w:val="28"/>
        </w:rPr>
        <w:t>Por tanto, casará parcialmente la sentencia impugnada, de manera oficiosa, para fijar</w:t>
      </w:r>
      <w:r>
        <w:rPr>
          <w:rFonts w:ascii="Bookman Old Style" w:hAnsi="Bookman Old Style"/>
          <w:bCs/>
          <w:color w:val="000000"/>
          <w:spacing w:val="-6"/>
          <w:sz w:val="28"/>
          <w:szCs w:val="28"/>
        </w:rPr>
        <w:t xml:space="preserve"> en el término referido </w:t>
      </w:r>
      <w:r w:rsidRPr="00D70738">
        <w:rPr>
          <w:rFonts w:ascii="Bookman Old Style" w:hAnsi="Bookman Old Style"/>
          <w:bCs/>
          <w:color w:val="000000"/>
          <w:spacing w:val="-6"/>
          <w:sz w:val="28"/>
          <w:szCs w:val="28"/>
        </w:rPr>
        <w:t>esta pena accesoria.</w:t>
      </w:r>
      <w:r w:rsidRPr="00946267">
        <w:rPr>
          <w:rFonts w:ascii="Bookman Old Style" w:hAnsi="Bookman Old Style" w:cs="Arial"/>
          <w:sz w:val="28"/>
          <w:szCs w:val="28"/>
        </w:rPr>
        <w:t xml:space="preserv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sidRPr="00D70738">
        <w:rPr>
          <w:rFonts w:ascii="Bookman Old Style" w:hAnsi="Bookman Old Style"/>
          <w:bCs/>
          <w:color w:val="000000"/>
          <w:spacing w:val="-6"/>
          <w:sz w:val="28"/>
          <w:szCs w:val="28"/>
        </w:rPr>
        <w:t>En</w:t>
      </w:r>
      <w:r>
        <w:rPr>
          <w:rFonts w:ascii="Bookman Old Style" w:hAnsi="Bookman Old Style"/>
          <w:bCs/>
          <w:color w:val="000000"/>
          <w:spacing w:val="-6"/>
          <w:sz w:val="28"/>
          <w:szCs w:val="28"/>
        </w:rPr>
        <w:t xml:space="preserve"> todo</w:t>
      </w:r>
      <w:r w:rsidRPr="00D70738">
        <w:rPr>
          <w:rFonts w:ascii="Bookman Old Style" w:hAnsi="Bookman Old Style"/>
          <w:bCs/>
          <w:color w:val="000000"/>
          <w:spacing w:val="-6"/>
          <w:sz w:val="28"/>
          <w:szCs w:val="28"/>
        </w:rPr>
        <w:t xml:space="preserve"> lo demás, la sentencia de segunda instancia permanece incólume.</w:t>
      </w:r>
      <w:r w:rsidRPr="00946267">
        <w:rPr>
          <w:rFonts w:ascii="Bookman Old Style" w:hAnsi="Bookman Old Style" w:cs="Arial"/>
          <w:sz w:val="28"/>
          <w:szCs w:val="28"/>
        </w:rPr>
        <w:t xml:space="preserv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sidRPr="00D70738">
        <w:rPr>
          <w:rFonts w:ascii="Bookman Old Style" w:hAnsi="Bookman Old Style"/>
          <w:color w:val="000000"/>
          <w:sz w:val="28"/>
          <w:szCs w:val="28"/>
        </w:rPr>
        <w:t xml:space="preserve">En mérito de lo expuesto, </w:t>
      </w:r>
      <w:r w:rsidRPr="00D70738">
        <w:rPr>
          <w:rFonts w:ascii="Bookman Old Style" w:hAnsi="Bookman Old Style"/>
          <w:bCs/>
          <w:color w:val="000000"/>
          <w:sz w:val="28"/>
          <w:szCs w:val="28"/>
        </w:rPr>
        <w:t>la</w:t>
      </w:r>
      <w:r w:rsidRPr="00D70738">
        <w:rPr>
          <w:rFonts w:ascii="Bookman Old Style" w:hAnsi="Bookman Old Style"/>
          <w:b/>
          <w:bCs/>
          <w:color w:val="000000"/>
          <w:sz w:val="28"/>
          <w:szCs w:val="28"/>
        </w:rPr>
        <w:t xml:space="preserve"> </w:t>
      </w:r>
      <w:r w:rsidRPr="00D70738">
        <w:rPr>
          <w:rFonts w:ascii="Bookman Old Style" w:hAnsi="Bookman Old Style"/>
          <w:color w:val="000000"/>
          <w:sz w:val="28"/>
          <w:szCs w:val="28"/>
        </w:rPr>
        <w:t>CORTE SUPREMA DE JUSTICIA, Sala de Casación Penal, administrando justicia en nombre de la República y por autoridad de la Ley</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center"/>
        <w:rPr>
          <w:rFonts w:ascii="Bookman Old Style" w:hAnsi="Bookman Old Style" w:cs="Arial"/>
          <w:sz w:val="28"/>
          <w:szCs w:val="28"/>
        </w:rPr>
      </w:pPr>
      <w:r w:rsidRPr="00D70738">
        <w:rPr>
          <w:rFonts w:ascii="Bookman Old Style" w:hAnsi="Bookman Old Style"/>
          <w:b/>
          <w:bCs/>
          <w:color w:val="000000"/>
          <w:spacing w:val="-6"/>
          <w:sz w:val="28"/>
          <w:szCs w:val="28"/>
        </w:rPr>
        <w:t>RESUELVE</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sidRPr="00D70738">
        <w:rPr>
          <w:rFonts w:ascii="Bookman Old Style" w:hAnsi="Bookman Old Style" w:cs="Arial"/>
          <w:b/>
          <w:bCs/>
          <w:color w:val="000000"/>
          <w:sz w:val="28"/>
          <w:szCs w:val="28"/>
        </w:rPr>
        <w:t>PRIMERO</w:t>
      </w:r>
      <w:r w:rsidRPr="00D70738">
        <w:rPr>
          <w:rFonts w:ascii="Bookman Old Style" w:hAnsi="Bookman Old Style" w:cs="Arial"/>
          <w:color w:val="000000"/>
          <w:sz w:val="28"/>
          <w:szCs w:val="28"/>
        </w:rPr>
        <w:t xml:space="preserve">. - CASAR </w:t>
      </w:r>
      <w:r>
        <w:rPr>
          <w:rFonts w:ascii="Bookman Old Style" w:hAnsi="Bookman Old Style" w:cs="Arial"/>
          <w:color w:val="000000"/>
          <w:sz w:val="28"/>
          <w:szCs w:val="28"/>
        </w:rPr>
        <w:t xml:space="preserve">PARCIALMENTE, </w:t>
      </w:r>
      <w:r w:rsidRPr="00D70738">
        <w:rPr>
          <w:rFonts w:ascii="Bookman Old Style" w:hAnsi="Bookman Old Style" w:cs="Arial"/>
          <w:color w:val="000000"/>
          <w:sz w:val="28"/>
          <w:szCs w:val="28"/>
        </w:rPr>
        <w:t>DE OFICIO</w:t>
      </w:r>
      <w:r>
        <w:rPr>
          <w:rFonts w:ascii="Bookman Old Style" w:hAnsi="Bookman Old Style" w:cs="Arial"/>
          <w:color w:val="000000"/>
          <w:sz w:val="28"/>
          <w:szCs w:val="28"/>
        </w:rPr>
        <w:t>,</w:t>
      </w:r>
      <w:r w:rsidRPr="00D70738">
        <w:rPr>
          <w:rFonts w:ascii="Bookman Old Style" w:hAnsi="Bookman Old Style" w:cs="Arial"/>
          <w:color w:val="000000"/>
          <w:sz w:val="28"/>
          <w:szCs w:val="28"/>
        </w:rPr>
        <w:t xml:space="preserve"> la sentencia emitida por el Tribunal Superior del Distrito Judicial de</w:t>
      </w:r>
      <w:r>
        <w:rPr>
          <w:rFonts w:ascii="Bookman Old Style" w:hAnsi="Bookman Old Style" w:cs="Arial"/>
          <w:color w:val="000000"/>
          <w:sz w:val="28"/>
          <w:szCs w:val="28"/>
        </w:rPr>
        <w:t xml:space="preserve"> Medellín</w:t>
      </w:r>
      <w:r w:rsidRPr="00D70738">
        <w:rPr>
          <w:rFonts w:ascii="Bookman Old Style" w:hAnsi="Bookman Old Style" w:cs="Arial"/>
          <w:color w:val="000000"/>
          <w:sz w:val="28"/>
          <w:szCs w:val="28"/>
        </w:rPr>
        <w:t xml:space="preserve"> el </w:t>
      </w:r>
      <w:r>
        <w:rPr>
          <w:rFonts w:ascii="Bookman Old Style" w:hAnsi="Bookman Old Style" w:cs="Arial"/>
          <w:color w:val="000000"/>
          <w:sz w:val="28"/>
          <w:szCs w:val="28"/>
        </w:rPr>
        <w:t>27</w:t>
      </w:r>
      <w:r w:rsidRPr="00D70738">
        <w:rPr>
          <w:rFonts w:ascii="Bookman Old Style" w:hAnsi="Bookman Old Style" w:cs="Arial"/>
          <w:color w:val="000000"/>
          <w:sz w:val="28"/>
          <w:szCs w:val="28"/>
        </w:rPr>
        <w:t xml:space="preserve"> de</w:t>
      </w:r>
      <w:r>
        <w:rPr>
          <w:rFonts w:ascii="Bookman Old Style" w:hAnsi="Bookman Old Style" w:cs="Arial"/>
          <w:color w:val="000000"/>
          <w:sz w:val="28"/>
          <w:szCs w:val="28"/>
        </w:rPr>
        <w:t xml:space="preserve"> septiembre</w:t>
      </w:r>
      <w:r w:rsidRPr="00D70738">
        <w:rPr>
          <w:rFonts w:ascii="Bookman Old Style" w:hAnsi="Bookman Old Style" w:cs="Arial"/>
          <w:color w:val="000000"/>
          <w:sz w:val="28"/>
          <w:szCs w:val="28"/>
        </w:rPr>
        <w:t xml:space="preserve"> de 20</w:t>
      </w:r>
      <w:r>
        <w:rPr>
          <w:rFonts w:ascii="Bookman Old Style" w:hAnsi="Bookman Old Style" w:cs="Arial"/>
          <w:color w:val="000000"/>
          <w:sz w:val="28"/>
          <w:szCs w:val="28"/>
        </w:rPr>
        <w:t>21</w:t>
      </w:r>
      <w:r w:rsidRPr="00D70738">
        <w:rPr>
          <w:rFonts w:ascii="Bookman Old Style" w:hAnsi="Bookman Old Style" w:cs="Arial"/>
          <w:color w:val="000000"/>
          <w:sz w:val="28"/>
          <w:szCs w:val="28"/>
        </w:rPr>
        <w:t xml:space="preserve">, para fijar en </w:t>
      </w:r>
      <w:r>
        <w:rPr>
          <w:rFonts w:ascii="Bookman Old Style" w:hAnsi="Bookman Old Style" w:cs="Arial"/>
          <w:color w:val="000000"/>
          <w:sz w:val="28"/>
          <w:szCs w:val="28"/>
        </w:rPr>
        <w:t>seis (6) meses</w:t>
      </w:r>
      <w:r w:rsidRPr="00D70738">
        <w:rPr>
          <w:rFonts w:ascii="Bookman Old Style" w:hAnsi="Bookman Old Style" w:cs="Arial"/>
          <w:color w:val="000000"/>
          <w:sz w:val="28"/>
          <w:szCs w:val="28"/>
        </w:rPr>
        <w:t xml:space="preserve"> la pena accesoria de privación del derecho a la tenencia y porte de armas</w:t>
      </w:r>
      <w:r>
        <w:rPr>
          <w:rFonts w:ascii="Bookman Old Style" w:hAnsi="Bookman Old Style" w:cs="Arial"/>
          <w:color w:val="000000"/>
          <w:sz w:val="28"/>
          <w:szCs w:val="28"/>
        </w:rPr>
        <w:t>,</w:t>
      </w:r>
      <w:r w:rsidRPr="00D70738">
        <w:rPr>
          <w:rFonts w:ascii="Bookman Old Style" w:hAnsi="Bookman Old Style" w:cs="Arial"/>
          <w:color w:val="000000"/>
          <w:sz w:val="28"/>
          <w:szCs w:val="28"/>
        </w:rPr>
        <w:t xml:space="preserve"> a la que queda condenad</w:t>
      </w:r>
      <w:r>
        <w:rPr>
          <w:rFonts w:ascii="Bookman Old Style" w:hAnsi="Bookman Old Style" w:cs="Arial"/>
          <w:color w:val="000000"/>
          <w:sz w:val="28"/>
          <w:szCs w:val="28"/>
        </w:rPr>
        <w:t xml:space="preserve">a </w:t>
      </w:r>
      <w:r>
        <w:rPr>
          <w:rFonts w:ascii="Bookman Old Style" w:hAnsi="Bookman Old Style" w:cs="Arial"/>
          <w:b/>
          <w:bCs/>
          <w:color w:val="000000"/>
          <w:sz w:val="28"/>
          <w:szCs w:val="28"/>
        </w:rPr>
        <w:t xml:space="preserve">OLGA PATRICIA BEDOYA BEDOYA. </w:t>
      </w:r>
      <w:r w:rsidRPr="00946267">
        <w:rPr>
          <w:rFonts w:ascii="Bookman Old Style" w:hAnsi="Bookman Old Style" w:cs="Arial"/>
          <w:sz w:val="28"/>
          <w:szCs w:val="28"/>
        </w:rPr>
        <w:t xml:space="preserv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Default="00B7360C" w:rsidP="00B7360C">
      <w:pPr>
        <w:pStyle w:val="Textosinformato"/>
        <w:spacing w:line="360" w:lineRule="auto"/>
        <w:ind w:firstLine="709"/>
        <w:jc w:val="both"/>
        <w:rPr>
          <w:rFonts w:ascii="Bookman Old Style" w:hAnsi="Bookman Old Style" w:cs="Arial"/>
          <w:sz w:val="28"/>
          <w:szCs w:val="28"/>
        </w:rPr>
      </w:pPr>
      <w:r w:rsidRPr="00D70738">
        <w:rPr>
          <w:rFonts w:ascii="Bookman Old Style" w:hAnsi="Bookman Old Style" w:cs="Arial"/>
          <w:b/>
          <w:bCs/>
          <w:color w:val="000000"/>
          <w:sz w:val="28"/>
          <w:szCs w:val="28"/>
        </w:rPr>
        <w:t>SEGUNDO</w:t>
      </w:r>
      <w:r w:rsidRPr="00D70738">
        <w:rPr>
          <w:rFonts w:ascii="Bookman Old Style" w:hAnsi="Bookman Old Style" w:cs="Arial"/>
          <w:color w:val="000000"/>
          <w:sz w:val="28"/>
          <w:szCs w:val="28"/>
        </w:rPr>
        <w:t>. -</w:t>
      </w:r>
      <w:r w:rsidRPr="00D70738">
        <w:rPr>
          <w:rFonts w:ascii="Bookman Old Style" w:hAnsi="Bookman Old Style" w:cs="Arial"/>
          <w:color w:val="000000"/>
          <w:sz w:val="28"/>
          <w:szCs w:val="28"/>
        </w:rPr>
        <w:tab/>
        <w:t>En lo demás, el fallo impugnado se mantiene incólume.</w:t>
      </w:r>
      <w:r w:rsidRPr="00946267">
        <w:rPr>
          <w:rFonts w:ascii="Bookman Old Style" w:hAnsi="Bookman Old Style" w:cs="Arial"/>
          <w:sz w:val="28"/>
          <w:szCs w:val="28"/>
        </w:rPr>
        <w:t xml:space="preserve"> </w:t>
      </w:r>
    </w:p>
    <w:p w:rsidR="00B7360C" w:rsidRDefault="00B7360C" w:rsidP="00B7360C">
      <w:pPr>
        <w:pStyle w:val="Textosinformato"/>
        <w:spacing w:line="360" w:lineRule="auto"/>
        <w:ind w:firstLine="709"/>
        <w:jc w:val="both"/>
        <w:rPr>
          <w:rFonts w:ascii="Bookman Old Style" w:hAnsi="Bookman Old Style" w:cs="Arial"/>
          <w:sz w:val="28"/>
          <w:szCs w:val="28"/>
        </w:rPr>
      </w:pPr>
    </w:p>
    <w:p w:rsidR="00B7360C" w:rsidRPr="00491401" w:rsidRDefault="00B7360C" w:rsidP="00B7360C">
      <w:pPr>
        <w:spacing w:line="372" w:lineRule="auto"/>
        <w:ind w:firstLine="708"/>
        <w:jc w:val="both"/>
        <w:rPr>
          <w:rFonts w:ascii="Bookman Old Style" w:hAnsi="Bookman Old Style" w:cs="Arial"/>
          <w:color w:val="000000"/>
          <w:sz w:val="28"/>
          <w:szCs w:val="28"/>
        </w:rPr>
      </w:pPr>
      <w:r w:rsidRPr="00D70738">
        <w:rPr>
          <w:rFonts w:ascii="Bookman Old Style" w:hAnsi="Bookman Old Style" w:cs="Arial"/>
          <w:color w:val="000000"/>
          <w:sz w:val="28"/>
          <w:szCs w:val="28"/>
        </w:rPr>
        <w:t>Contra esta decisión no proceden recursos.</w:t>
      </w:r>
      <w:r>
        <w:rPr>
          <w:rFonts w:ascii="Bookman Old Style" w:hAnsi="Bookman Old Style" w:cs="Arial"/>
          <w:color w:val="000000"/>
          <w:sz w:val="28"/>
          <w:szCs w:val="28"/>
        </w:rPr>
        <w:t xml:space="preserve"> </w:t>
      </w:r>
    </w:p>
    <w:p w:rsidR="00B7360C" w:rsidRDefault="00B7360C" w:rsidP="00B7360C">
      <w:pPr>
        <w:spacing w:line="360" w:lineRule="auto"/>
        <w:ind w:right="51" w:firstLine="709"/>
        <w:jc w:val="center"/>
        <w:rPr>
          <w:rFonts w:ascii="Bookman Old Style" w:hAnsi="Bookman Old Style"/>
          <w:sz w:val="28"/>
          <w:szCs w:val="28"/>
          <w:lang w:val="es-ES_tradnl"/>
        </w:rPr>
      </w:pPr>
      <w:r w:rsidRPr="00DA609B">
        <w:rPr>
          <w:rFonts w:ascii="Bookman Old Style" w:hAnsi="Bookman Old Style"/>
          <w:sz w:val="28"/>
          <w:szCs w:val="28"/>
          <w:lang w:val="es-ES_tradnl"/>
        </w:rPr>
        <w:lastRenderedPageBreak/>
        <w:t>Comuníquese y cúmplase</w:t>
      </w:r>
      <w:r>
        <w:rPr>
          <w:rFonts w:ascii="Bookman Old Style" w:hAnsi="Bookman Old Style"/>
          <w:sz w:val="28"/>
          <w:szCs w:val="28"/>
          <w:lang w:val="es-ES_tradnl"/>
        </w:rPr>
        <w:t>.</w:t>
      </w:r>
    </w:p>
    <w:p w:rsidR="00B7360C" w:rsidRDefault="00B7360C" w:rsidP="00B7360C">
      <w:pPr>
        <w:spacing w:line="360" w:lineRule="auto"/>
        <w:ind w:right="51" w:firstLine="709"/>
        <w:jc w:val="center"/>
        <w:rPr>
          <w:rFonts w:ascii="Bookman Old Style" w:hAnsi="Bookman Old Style" w:cs="Arial"/>
          <w:b/>
          <w:sz w:val="28"/>
          <w:szCs w:val="28"/>
          <w:lang w:val="es-ES_tradnl" w:eastAsia="es-ES"/>
        </w:rPr>
      </w:pPr>
    </w:p>
    <w:p w:rsidR="00B7360C" w:rsidRPr="00B7360C" w:rsidRDefault="00B7360C" w:rsidP="00B7360C">
      <w:pPr>
        <w:spacing w:line="360" w:lineRule="auto"/>
        <w:ind w:right="51" w:firstLine="709"/>
        <w:jc w:val="center"/>
        <w:rPr>
          <w:rFonts w:ascii="Bookman Old Style" w:hAnsi="Bookman Old Style"/>
          <w:b/>
          <w:sz w:val="28"/>
          <w:szCs w:val="28"/>
          <w:lang w:val="es-ES_tradnl"/>
        </w:rPr>
      </w:pPr>
      <w:bookmarkStart w:id="1" w:name="_Hlk144794174"/>
      <w:r w:rsidRPr="00B7360C">
        <w:rPr>
          <w:rFonts w:ascii="Bookman Old Style" w:hAnsi="Bookman Old Style"/>
          <w:b/>
          <w:sz w:val="28"/>
          <w:szCs w:val="28"/>
          <w:lang w:val="es-ES_tradnl"/>
        </w:rPr>
        <w:t>HUGO QUINTERO BERNATE</w:t>
      </w:r>
    </w:p>
    <w:p w:rsidR="00B7360C" w:rsidRPr="00B7360C" w:rsidRDefault="00B7360C" w:rsidP="00B7360C">
      <w:pPr>
        <w:spacing w:line="360" w:lineRule="auto"/>
        <w:ind w:right="51" w:firstLine="709"/>
        <w:jc w:val="center"/>
        <w:rPr>
          <w:rFonts w:ascii="Bookman Old Style" w:hAnsi="Bookman Old Style"/>
          <w:b/>
          <w:sz w:val="28"/>
          <w:szCs w:val="28"/>
          <w:lang w:val="es-ES_tradnl"/>
        </w:rPr>
      </w:pPr>
      <w:r w:rsidRPr="00B7360C">
        <w:rPr>
          <w:rFonts w:ascii="Bookman Old Style" w:hAnsi="Bookman Old Style"/>
          <w:b/>
          <w:sz w:val="28"/>
          <w:szCs w:val="28"/>
          <w:lang w:val="es-ES_tradnl"/>
        </w:rPr>
        <w:t>Presidente</w:t>
      </w:r>
    </w:p>
    <w:p w:rsidR="00B7360C" w:rsidRPr="00B7360C" w:rsidRDefault="00B7360C" w:rsidP="00B7360C">
      <w:pPr>
        <w:spacing w:line="360" w:lineRule="auto"/>
        <w:ind w:right="51" w:firstLine="709"/>
        <w:jc w:val="center"/>
        <w:rPr>
          <w:rFonts w:ascii="Bookman Old Style" w:hAnsi="Bookman Old Style"/>
          <w:b/>
          <w:sz w:val="28"/>
          <w:szCs w:val="28"/>
          <w:lang w:val="es-ES_tradnl"/>
        </w:rPr>
      </w:pPr>
      <w:r w:rsidRPr="00B7360C">
        <w:rPr>
          <w:rFonts w:ascii="Bookman Old Style" w:hAnsi="Bookman Old Style"/>
          <w:b/>
          <w:sz w:val="28"/>
          <w:szCs w:val="28"/>
          <w:lang w:val="es-ES_tradnl"/>
        </w:rPr>
        <w:t>MYRIAM ÁVILA ROLDÁN</w:t>
      </w:r>
    </w:p>
    <w:p w:rsidR="00B7360C" w:rsidRPr="00B7360C" w:rsidRDefault="00B7360C" w:rsidP="00B7360C">
      <w:pPr>
        <w:spacing w:line="360" w:lineRule="auto"/>
        <w:ind w:right="51" w:firstLine="709"/>
        <w:jc w:val="center"/>
        <w:rPr>
          <w:rFonts w:ascii="Bookman Old Style" w:hAnsi="Bookman Old Style"/>
          <w:b/>
          <w:sz w:val="28"/>
          <w:szCs w:val="28"/>
          <w:lang w:val="es-ES_tradnl"/>
        </w:rPr>
      </w:pPr>
      <w:r w:rsidRPr="00B7360C">
        <w:rPr>
          <w:rFonts w:ascii="Bookman Old Style" w:hAnsi="Bookman Old Style"/>
          <w:b/>
          <w:sz w:val="28"/>
          <w:szCs w:val="28"/>
          <w:lang w:val="es-ES_tradnl"/>
        </w:rPr>
        <w:t>FERNANDO LEÓN BOLAÑOS PALACIOS</w:t>
      </w:r>
    </w:p>
    <w:p w:rsidR="00B7360C" w:rsidRPr="00B7360C" w:rsidRDefault="00B7360C" w:rsidP="00B7360C">
      <w:pPr>
        <w:spacing w:line="360" w:lineRule="auto"/>
        <w:ind w:right="51" w:firstLine="709"/>
        <w:jc w:val="center"/>
        <w:rPr>
          <w:rFonts w:ascii="Bookman Old Style" w:hAnsi="Bookman Old Style"/>
          <w:b/>
          <w:sz w:val="28"/>
          <w:szCs w:val="28"/>
          <w:lang w:val="es-ES_tradnl"/>
        </w:rPr>
      </w:pPr>
      <w:r w:rsidRPr="00B7360C">
        <w:rPr>
          <w:rFonts w:ascii="Bookman Old Style" w:hAnsi="Bookman Old Style"/>
          <w:b/>
          <w:sz w:val="28"/>
          <w:szCs w:val="28"/>
          <w:lang w:val="es-ES_tradnl"/>
        </w:rPr>
        <w:t>GERSON CHAVERRA CASTRO</w:t>
      </w:r>
    </w:p>
    <w:p w:rsidR="00B7360C" w:rsidRPr="00B7360C" w:rsidRDefault="00B7360C" w:rsidP="00B7360C">
      <w:pPr>
        <w:spacing w:line="360" w:lineRule="auto"/>
        <w:ind w:right="51" w:firstLine="709"/>
        <w:jc w:val="center"/>
        <w:rPr>
          <w:rFonts w:ascii="Bookman Old Style" w:hAnsi="Bookman Old Style"/>
          <w:b/>
          <w:sz w:val="28"/>
          <w:szCs w:val="28"/>
          <w:lang w:val="es-ES_tradnl"/>
        </w:rPr>
      </w:pPr>
      <w:r w:rsidRPr="00B7360C">
        <w:rPr>
          <w:rFonts w:ascii="Bookman Old Style" w:hAnsi="Bookman Old Style"/>
          <w:b/>
          <w:sz w:val="28"/>
          <w:szCs w:val="28"/>
          <w:lang w:val="es-ES_tradnl"/>
        </w:rPr>
        <w:t>DIEGO EUGENIO CORREDOR BELTRÁN</w:t>
      </w:r>
    </w:p>
    <w:p w:rsidR="00B7360C" w:rsidRPr="00B7360C" w:rsidRDefault="00B7360C" w:rsidP="00B7360C">
      <w:pPr>
        <w:spacing w:line="360" w:lineRule="auto"/>
        <w:ind w:right="51" w:firstLine="709"/>
        <w:jc w:val="center"/>
        <w:rPr>
          <w:rFonts w:ascii="Bookman Old Style" w:hAnsi="Bookman Old Style"/>
          <w:b/>
          <w:sz w:val="28"/>
          <w:szCs w:val="28"/>
          <w:lang w:val="es-ES_tradnl"/>
        </w:rPr>
      </w:pPr>
      <w:r w:rsidRPr="00B7360C">
        <w:rPr>
          <w:rFonts w:ascii="Bookman Old Style" w:hAnsi="Bookman Old Style"/>
          <w:b/>
          <w:sz w:val="28"/>
          <w:szCs w:val="28"/>
          <w:lang w:val="es-ES_tradnl"/>
        </w:rPr>
        <w:t>JORGE HERNÁN DÍAZ SOTO</w:t>
      </w:r>
    </w:p>
    <w:p w:rsidR="00B7360C" w:rsidRPr="00B7360C" w:rsidRDefault="00B7360C" w:rsidP="00B7360C">
      <w:pPr>
        <w:spacing w:line="360" w:lineRule="auto"/>
        <w:ind w:right="51" w:firstLine="709"/>
        <w:jc w:val="center"/>
        <w:rPr>
          <w:rFonts w:ascii="Bookman Old Style" w:hAnsi="Bookman Old Style"/>
          <w:b/>
          <w:sz w:val="28"/>
          <w:szCs w:val="28"/>
          <w:lang w:val="es-ES_tradnl"/>
        </w:rPr>
      </w:pPr>
      <w:r w:rsidRPr="00B7360C">
        <w:rPr>
          <w:rFonts w:ascii="Bookman Old Style" w:hAnsi="Bookman Old Style"/>
          <w:b/>
          <w:sz w:val="28"/>
          <w:szCs w:val="28"/>
          <w:lang w:val="es-ES_tradnl"/>
        </w:rPr>
        <w:t>LUIS ANTONIO HERNÁNDEZ BARBOSA</w:t>
      </w:r>
    </w:p>
    <w:p w:rsidR="00B7360C" w:rsidRPr="00B7360C" w:rsidRDefault="00B7360C" w:rsidP="00B7360C">
      <w:pPr>
        <w:spacing w:line="360" w:lineRule="auto"/>
        <w:ind w:right="51" w:firstLine="709"/>
        <w:jc w:val="center"/>
        <w:rPr>
          <w:rFonts w:ascii="Bookman Old Style" w:hAnsi="Bookman Old Style"/>
          <w:b/>
          <w:sz w:val="28"/>
          <w:szCs w:val="28"/>
        </w:rPr>
      </w:pPr>
      <w:r w:rsidRPr="00B7360C">
        <w:rPr>
          <w:rFonts w:ascii="Bookman Old Style" w:hAnsi="Bookman Old Style"/>
          <w:b/>
          <w:sz w:val="28"/>
          <w:szCs w:val="28"/>
        </w:rPr>
        <w:t>FABIO OSPITIA GARZÓN</w:t>
      </w:r>
    </w:p>
    <w:p w:rsidR="00B7360C" w:rsidRPr="00B7360C" w:rsidRDefault="00B7360C" w:rsidP="00B7360C">
      <w:pPr>
        <w:spacing w:line="360" w:lineRule="auto"/>
        <w:ind w:right="51" w:firstLine="709"/>
        <w:jc w:val="center"/>
        <w:rPr>
          <w:rFonts w:ascii="Bookman Old Style" w:hAnsi="Bookman Old Style"/>
          <w:b/>
          <w:sz w:val="28"/>
          <w:szCs w:val="28"/>
        </w:rPr>
      </w:pPr>
      <w:r w:rsidRPr="00B7360C">
        <w:rPr>
          <w:rFonts w:ascii="Bookman Old Style" w:hAnsi="Bookman Old Style"/>
          <w:b/>
          <w:sz w:val="28"/>
          <w:szCs w:val="28"/>
        </w:rPr>
        <w:t>CARLOS ROBERTO SOLÓRZANO GARAVITO</w:t>
      </w:r>
    </w:p>
    <w:p w:rsidR="00B7360C" w:rsidRPr="00B7360C" w:rsidRDefault="00B7360C" w:rsidP="00B7360C">
      <w:pPr>
        <w:spacing w:line="360" w:lineRule="auto"/>
        <w:ind w:right="51" w:firstLine="709"/>
        <w:jc w:val="center"/>
        <w:rPr>
          <w:rFonts w:ascii="Bookman Old Style" w:hAnsi="Bookman Old Style"/>
          <w:sz w:val="28"/>
          <w:szCs w:val="28"/>
          <w:lang w:val="es-ES_tradnl"/>
        </w:rPr>
      </w:pPr>
      <w:bookmarkStart w:id="2" w:name="_GoBack"/>
      <w:bookmarkEnd w:id="2"/>
      <w:r w:rsidRPr="00B7360C">
        <w:rPr>
          <w:rFonts w:ascii="Bookman Old Style" w:hAnsi="Bookman Old Style"/>
          <w:sz w:val="28"/>
          <w:szCs w:val="28"/>
          <w:lang w:val="es-ES_tradnl"/>
        </w:rPr>
        <w:t>NUBIA YOLANDA NOVA GARCÍA</w:t>
      </w:r>
    </w:p>
    <w:p w:rsidR="00B7360C" w:rsidRPr="00B7360C" w:rsidRDefault="00B7360C" w:rsidP="00B7360C">
      <w:pPr>
        <w:spacing w:line="360" w:lineRule="auto"/>
        <w:ind w:right="51" w:firstLine="709"/>
        <w:jc w:val="center"/>
        <w:rPr>
          <w:rFonts w:ascii="Bookman Old Style" w:hAnsi="Bookman Old Style"/>
          <w:sz w:val="28"/>
          <w:szCs w:val="28"/>
          <w:lang w:val="es-ES_tradnl"/>
        </w:rPr>
      </w:pPr>
      <w:r w:rsidRPr="00B7360C">
        <w:rPr>
          <w:rFonts w:ascii="Bookman Old Style" w:hAnsi="Bookman Old Style"/>
          <w:sz w:val="28"/>
          <w:szCs w:val="28"/>
          <w:lang w:val="es-ES_tradnl"/>
        </w:rPr>
        <w:t>Secretaria</w:t>
      </w:r>
    </w:p>
    <w:p w:rsidR="00B7360C" w:rsidRPr="00B7360C" w:rsidRDefault="00B7360C" w:rsidP="00B7360C">
      <w:pPr>
        <w:spacing w:line="360" w:lineRule="auto"/>
        <w:ind w:right="51" w:firstLine="709"/>
        <w:jc w:val="center"/>
        <w:rPr>
          <w:rFonts w:ascii="Bookman Old Style" w:hAnsi="Bookman Old Style"/>
          <w:b/>
          <w:sz w:val="28"/>
          <w:szCs w:val="28"/>
          <w:lang w:val="es-ES_tradnl"/>
        </w:rPr>
      </w:pPr>
    </w:p>
    <w:p w:rsidR="00B7360C" w:rsidRPr="00B7360C" w:rsidRDefault="00B7360C" w:rsidP="00B7360C">
      <w:pPr>
        <w:spacing w:line="360" w:lineRule="auto"/>
        <w:ind w:right="51" w:firstLine="709"/>
        <w:jc w:val="center"/>
        <w:rPr>
          <w:b/>
          <w:sz w:val="28"/>
          <w:szCs w:val="28"/>
          <w:lang w:val="es-ES_tradnl"/>
        </w:rPr>
      </w:pPr>
    </w:p>
    <w:p w:rsidR="00B7360C" w:rsidRPr="00B7360C" w:rsidRDefault="00B7360C" w:rsidP="00B7360C">
      <w:pPr>
        <w:spacing w:line="360" w:lineRule="auto"/>
        <w:ind w:right="51" w:firstLine="709"/>
        <w:jc w:val="center"/>
        <w:rPr>
          <w:b/>
          <w:sz w:val="28"/>
          <w:szCs w:val="28"/>
          <w:lang w:val="es-ES_tradnl"/>
        </w:rPr>
      </w:pPr>
    </w:p>
    <w:bookmarkEnd w:id="1"/>
    <w:p w:rsidR="00B7360C" w:rsidRDefault="00B7360C" w:rsidP="00B7360C">
      <w:pPr>
        <w:spacing w:line="360" w:lineRule="auto"/>
        <w:ind w:right="51" w:firstLine="709"/>
        <w:jc w:val="center"/>
        <w:rPr>
          <w:sz w:val="28"/>
          <w:szCs w:val="28"/>
        </w:rPr>
      </w:pPr>
    </w:p>
    <w:p w:rsidR="00B7360C" w:rsidRPr="005E35A1" w:rsidRDefault="00B7360C" w:rsidP="00B7360C">
      <w:pPr>
        <w:spacing w:line="360" w:lineRule="auto"/>
        <w:ind w:right="51" w:firstLine="709"/>
        <w:jc w:val="center"/>
        <w:rPr>
          <w:sz w:val="28"/>
          <w:szCs w:val="28"/>
        </w:rPr>
      </w:pPr>
    </w:p>
    <w:p w:rsidR="00B7360C" w:rsidRPr="005E35A1" w:rsidRDefault="00B7360C" w:rsidP="00B7360C">
      <w:pPr>
        <w:rPr>
          <w:sz w:val="28"/>
          <w:szCs w:val="28"/>
        </w:rPr>
      </w:pPr>
    </w:p>
    <w:p w:rsidR="006F78E6" w:rsidRDefault="006F78E6"/>
    <w:sectPr w:rsidR="006F78E6" w:rsidSect="005274C7">
      <w:headerReference w:type="even" r:id="rId6"/>
      <w:headerReference w:type="default" r:id="rId7"/>
      <w:footerReference w:type="even" r:id="rId8"/>
      <w:footerReference w:type="default" r:id="rId9"/>
      <w:headerReference w:type="first" r:id="rId10"/>
      <w:footerReference w:type="first" r:id="rId11"/>
      <w:pgSz w:w="12242" w:h="18722" w:code="14"/>
      <w:pgMar w:top="2268" w:right="1701" w:bottom="1701" w:left="2268"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887" w:rsidRDefault="00164887" w:rsidP="00B7360C">
      <w:pPr>
        <w:spacing w:after="0" w:line="240" w:lineRule="auto"/>
      </w:pPr>
      <w:r>
        <w:separator/>
      </w:r>
    </w:p>
  </w:endnote>
  <w:endnote w:type="continuationSeparator" w:id="0">
    <w:p w:rsidR="00164887" w:rsidRDefault="00164887" w:rsidP="00B73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183" w:rsidRDefault="00164887" w:rsidP="0007200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C81183" w:rsidRDefault="00164887" w:rsidP="0007200E">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183" w:rsidRDefault="00164887" w:rsidP="0007200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7360C">
      <w:rPr>
        <w:rStyle w:val="Nmerodepgina"/>
        <w:noProof/>
      </w:rPr>
      <w:t>8</w:t>
    </w:r>
    <w:r>
      <w:rPr>
        <w:rStyle w:val="Nmerodepgina"/>
      </w:rPr>
      <w:fldChar w:fldCharType="end"/>
    </w:r>
  </w:p>
  <w:p w:rsidR="00C81183" w:rsidRDefault="00164887" w:rsidP="0007200E">
    <w:pPr>
      <w:pStyle w:val="Piedep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41A" w:rsidRPr="001D208C" w:rsidRDefault="00164887" w:rsidP="0038541A">
    <w:pPr>
      <w:pStyle w:val="Texto"/>
      <w:spacing w:after="0" w:line="240" w:lineRule="auto"/>
      <w:ind w:left="0"/>
      <w:jc w:val="left"/>
      <w:rPr>
        <w:rFonts w:ascii="Helvetica" w:hAnsi="Helvetica" w:cs="Garamond"/>
        <w:sz w:val="16"/>
        <w:szCs w:val="16"/>
        <w:lang w:val="es-CO"/>
      </w:rPr>
    </w:pPr>
  </w:p>
  <w:p w:rsidR="0038541A" w:rsidRDefault="0016488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887" w:rsidRDefault="00164887" w:rsidP="00B7360C">
      <w:pPr>
        <w:spacing w:after="0" w:line="240" w:lineRule="auto"/>
      </w:pPr>
      <w:r>
        <w:separator/>
      </w:r>
    </w:p>
  </w:footnote>
  <w:footnote w:type="continuationSeparator" w:id="0">
    <w:p w:rsidR="00164887" w:rsidRDefault="00164887" w:rsidP="00B7360C">
      <w:pPr>
        <w:spacing w:after="0" w:line="240" w:lineRule="auto"/>
      </w:pPr>
      <w:r>
        <w:continuationSeparator/>
      </w:r>
    </w:p>
  </w:footnote>
  <w:footnote w:id="1">
    <w:p w:rsidR="00B7360C" w:rsidRPr="00FA759D" w:rsidRDefault="00B7360C" w:rsidP="00B7360C">
      <w:pPr>
        <w:pStyle w:val="Textonotapie"/>
        <w:jc w:val="both"/>
        <w:rPr>
          <w:rFonts w:ascii="Bookman Old Style" w:hAnsi="Bookman Old Style"/>
          <w:lang w:val="es-CO"/>
        </w:rPr>
      </w:pPr>
      <w:r w:rsidRPr="00FA759D">
        <w:rPr>
          <w:rStyle w:val="Refdenotaalpie"/>
          <w:rFonts w:ascii="Bookman Old Style" w:hAnsi="Bookman Old Style"/>
        </w:rPr>
        <w:footnoteRef/>
      </w:r>
      <w:r w:rsidRPr="00FA759D">
        <w:rPr>
          <w:rFonts w:ascii="Bookman Old Style" w:hAnsi="Bookman Old Style"/>
        </w:rPr>
        <w:t xml:space="preserve"> Cfr., entre otras decisiones, </w:t>
      </w:r>
      <w:r w:rsidRPr="00FA759D">
        <w:rPr>
          <w:rFonts w:ascii="Bookman Old Style" w:hAnsi="Bookman Old Style"/>
          <w:spacing w:val="-3"/>
          <w:lang w:val="es-CO"/>
        </w:rPr>
        <w:t xml:space="preserve">SP9226-2014, jul. 16, Rad. 43514; </w:t>
      </w:r>
      <w:r w:rsidRPr="00FA759D">
        <w:rPr>
          <w:rFonts w:ascii="Bookman Old Style" w:hAnsi="Bookman Old Style"/>
          <w:bCs/>
          <w:spacing w:val="-6"/>
        </w:rPr>
        <w:t>SP2636-2015, mar. 11 de 2015, Rad. 44221 y SP9557-2017, jul. 5, Rad. 48659.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6CF" w:rsidRDefault="00164887">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3126" o:spid="_x0000_s2049" type="#_x0000_t75" style="position:absolute;margin-left:0;margin-top:0;width:412.8pt;height:232.2pt;z-index:-251655168;mso-wrap-edited:f;mso-position-horizontal:center;mso-position-horizontal-relative:margin;mso-position-vertical:center;mso-position-vertical-relative:margin" o:allowincell="f">
          <v:imagedata r:id="rId1" o:title="Sala de Casación Penal@2O21b"/>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6DB" w:rsidRDefault="00164887" w:rsidP="001456DB">
    <w:pPr>
      <w:pStyle w:val="Encabezado"/>
      <w:jc w:val="right"/>
      <w:rPr>
        <w:rFonts w:ascii="Bookman Old Style" w:hAnsi="Bookman Old Style"/>
        <w:sz w:val="20"/>
        <w:szCs w:val="20"/>
      </w:rPr>
    </w:pPr>
    <w:r>
      <w:rPr>
        <w:rFonts w:ascii="Bookman Old Style" w:hAnsi="Bookman Old Style"/>
        <w:sz w:val="20"/>
        <w:szCs w:val="20"/>
      </w:rPr>
      <w:t>CUI 05001600000020210020801</w:t>
    </w:r>
  </w:p>
  <w:p w:rsidR="001456DB" w:rsidRDefault="00164887" w:rsidP="001456DB">
    <w:pPr>
      <w:pStyle w:val="Encabezado"/>
      <w:jc w:val="right"/>
      <w:rPr>
        <w:rFonts w:ascii="Bookman Old Style" w:hAnsi="Bookman Old Style"/>
        <w:sz w:val="20"/>
        <w:szCs w:val="20"/>
      </w:rPr>
    </w:pPr>
    <w:r>
      <w:rPr>
        <w:rFonts w:ascii="Bookman Old Style" w:hAnsi="Bookman Old Style"/>
        <w:sz w:val="20"/>
        <w:szCs w:val="20"/>
      </w:rPr>
      <w:t>Casación n.º 60736</w:t>
    </w:r>
  </w:p>
  <w:p w:rsidR="00C81183" w:rsidRPr="00572DD5" w:rsidRDefault="00164887" w:rsidP="001456DB">
    <w:pPr>
      <w:pStyle w:val="Encabezado"/>
      <w:jc w:val="right"/>
      <w:rPr>
        <w:rFonts w:ascii="Bookman Old Style" w:hAnsi="Bookman Old Style"/>
        <w:sz w:val="20"/>
        <w:szCs w:val="20"/>
      </w:rPr>
    </w:pPr>
    <w:r>
      <w:rPr>
        <w:rFonts w:ascii="Bookman Old Style" w:hAnsi="Bookman Old Style"/>
        <w:sz w:val="20"/>
        <w:szCs w:val="20"/>
      </w:rPr>
      <w:t>OLGA PATRICIA BEDOYA BEDOYA</w:t>
    </w:r>
    <w:r>
      <w:rPr>
        <w:noProof/>
        <w:lang w:val="es-CO" w:eastAsia="es-CO"/>
      </w:rPr>
      <w:drawing>
        <wp:anchor distT="0" distB="0" distL="114300" distR="114300" simplePos="0" relativeHeight="251660288" behindDoc="1" locked="0" layoutInCell="1" allowOverlap="1" wp14:anchorId="6778A315" wp14:editId="1A155843">
          <wp:simplePos x="0" y="0"/>
          <wp:positionH relativeFrom="margin">
            <wp:posOffset>-173990</wp:posOffset>
          </wp:positionH>
          <wp:positionV relativeFrom="paragraph">
            <wp:posOffset>2835910</wp:posOffset>
          </wp:positionV>
          <wp:extent cx="5249545" cy="2950845"/>
          <wp:effectExtent l="0" t="0" r="0" b="0"/>
          <wp:wrapNone/>
          <wp:docPr id="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9545" cy="29508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83A" w:rsidRDefault="00164887" w:rsidP="0007200E">
    <w:pPr>
      <w:pStyle w:val="Encabezado"/>
      <w:jc w:val="center"/>
    </w:pPr>
  </w:p>
  <w:p w:rsidR="00C81183" w:rsidRPr="00EC6CBD" w:rsidRDefault="00164887" w:rsidP="0007200E">
    <w:pPr>
      <w:pStyle w:val="Encabezado"/>
      <w:jc w:val="center"/>
    </w:pPr>
    <w:r>
      <w:rPr>
        <w:noProof/>
        <w:lang w:val="es-CO" w:eastAsia="es-CO"/>
      </w:rPr>
      <w:drawing>
        <wp:anchor distT="0" distB="0" distL="114300" distR="114300" simplePos="0" relativeHeight="251659264" behindDoc="1" locked="0" layoutInCell="1" allowOverlap="1" wp14:anchorId="3FE7D0F1" wp14:editId="3B4775C8">
          <wp:simplePos x="0" y="0"/>
          <wp:positionH relativeFrom="margin">
            <wp:posOffset>-482600</wp:posOffset>
          </wp:positionH>
          <wp:positionV relativeFrom="paragraph">
            <wp:posOffset>4297045</wp:posOffset>
          </wp:positionV>
          <wp:extent cx="5249545" cy="2950845"/>
          <wp:effectExtent l="0" t="0" r="0" b="0"/>
          <wp:wrapNone/>
          <wp:docPr id="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9545" cy="2950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0CCC">
      <w:rPr>
        <w:noProof/>
        <w:lang w:val="es-CO" w:eastAsia="es-CO"/>
      </w:rPr>
      <w:drawing>
        <wp:inline distT="0" distB="0" distL="0" distR="0" wp14:anchorId="3F7E5764" wp14:editId="6CEB7A15">
          <wp:extent cx="1971675" cy="1971675"/>
          <wp:effectExtent l="0" t="0" r="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71675" cy="19716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cumentProtection w:edit="readOnly" w:formatting="1" w:enforcement="1" w:cryptProviderType="rsaAES" w:cryptAlgorithmClass="hash" w:cryptAlgorithmType="typeAny" w:cryptAlgorithmSid="14" w:cryptSpinCount="100000" w:hash="3Jl7tELoVx44CAjIcC2IKsi4YHcEpHLe7poL4z2F8EPTQJe+YRMDygzK63jvcWJI5AqqrybUUmuxWnOpAl/86w==" w:salt="J0SI8f5tNWqou66KkrOWb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60C"/>
    <w:rsid w:val="00164887"/>
    <w:rsid w:val="006F78E6"/>
    <w:rsid w:val="00B7360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0F0FE51"/>
  <w15:chartTrackingRefBased/>
  <w15:docId w15:val="{F4C79B6B-D901-43D2-B78B-B8B8B8A44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60C"/>
    <w:pPr>
      <w:spacing w:after="200" w:line="276" w:lineRule="auto"/>
    </w:pPr>
    <w:rPr>
      <w:rFonts w:ascii="Calibri" w:eastAsia="Times New Roman" w:hAnsi="Calibri" w:cs="Times New Roman"/>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7360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7360C"/>
    <w:rPr>
      <w:rFonts w:ascii="Calibri" w:eastAsia="Times New Roman" w:hAnsi="Calibri" w:cs="Times New Roman"/>
      <w:lang w:val="es-ES"/>
    </w:rPr>
  </w:style>
  <w:style w:type="paragraph" w:styleId="Piedepgina">
    <w:name w:val="footer"/>
    <w:basedOn w:val="Normal"/>
    <w:link w:val="PiedepginaCar"/>
    <w:rsid w:val="00B7360C"/>
    <w:pPr>
      <w:tabs>
        <w:tab w:val="center" w:pos="4252"/>
        <w:tab w:val="right" w:pos="8504"/>
      </w:tabs>
      <w:spacing w:after="0" w:line="240" w:lineRule="auto"/>
    </w:pPr>
  </w:style>
  <w:style w:type="character" w:customStyle="1" w:styleId="PiedepginaCar">
    <w:name w:val="Pie de página Car"/>
    <w:basedOn w:val="Fuentedeprrafopredeter"/>
    <w:link w:val="Piedepgina"/>
    <w:rsid w:val="00B7360C"/>
    <w:rPr>
      <w:rFonts w:ascii="Calibri" w:eastAsia="Times New Roman" w:hAnsi="Calibri" w:cs="Times New Roman"/>
      <w:lang w:val="es-ES"/>
    </w:rPr>
  </w:style>
  <w:style w:type="character" w:styleId="Nmerodepgina">
    <w:name w:val="page number"/>
    <w:rsid w:val="00B7360C"/>
    <w:rPr>
      <w:rFonts w:cs="Times New Roman"/>
    </w:rPr>
  </w:style>
  <w:style w:type="character" w:styleId="Refdenotaalpie">
    <w:name w:val="footnote reference"/>
    <w:aliases w:val="Ref. de nota al pie 2,Texto de nota al pie,referencia nota al pie,Appel note de bas de page,Footnotes refss,Ref,de nota al pie,FC,FZ,BVI fnr,Footnote symbol,Footnote,Nota de pie,Pie de pagina,Ref. ...,Ref1,Footnote number,f,4_G,Ref5"/>
    <w:link w:val="4GChar"/>
    <w:uiPriority w:val="99"/>
    <w:qFormat/>
    <w:rsid w:val="00B7360C"/>
    <w:rPr>
      <w:vertAlign w:val="superscript"/>
    </w:rPr>
  </w:style>
  <w:style w:type="paragraph" w:styleId="Textonotapie">
    <w:name w:val="footnote text"/>
    <w:aliases w:val="Footnote Text Char Char Char Char Char,Footnote Text Char Char Char Char,Footnote reference,FA Fu,Footnote Text Char Char Char,FA Fu Car Car,FA Fu Car Car Car Car,FA Fu Car Car Car,FA Fu Car Car Car Car Car Car Car Car,Car,FA ,16 Point,R"/>
    <w:basedOn w:val="Normal"/>
    <w:link w:val="TextonotapieCar1"/>
    <w:qFormat/>
    <w:rsid w:val="00B7360C"/>
    <w:pPr>
      <w:spacing w:after="0" w:line="240" w:lineRule="auto"/>
    </w:pPr>
    <w:rPr>
      <w:rFonts w:ascii="Comic Sans MS" w:hAnsi="Comic Sans MS" w:cs="Comic Sans MS"/>
      <w:sz w:val="20"/>
      <w:szCs w:val="20"/>
      <w:lang w:val="es-ES_tradnl"/>
    </w:rPr>
  </w:style>
  <w:style w:type="character" w:customStyle="1" w:styleId="TextonotapieCar">
    <w:name w:val="Texto nota pie Car"/>
    <w:basedOn w:val="Fuentedeprrafopredeter"/>
    <w:uiPriority w:val="99"/>
    <w:semiHidden/>
    <w:rsid w:val="00B7360C"/>
    <w:rPr>
      <w:rFonts w:ascii="Calibri" w:eastAsia="Times New Roman" w:hAnsi="Calibri" w:cs="Times New Roman"/>
      <w:sz w:val="20"/>
      <w:szCs w:val="20"/>
      <w:lang w:val="es-ES"/>
    </w:rPr>
  </w:style>
  <w:style w:type="character" w:customStyle="1" w:styleId="TextonotapieCar1">
    <w:name w:val="Texto nota pie Car1"/>
    <w:aliases w:val="Footnote Text Char Char Char Char Char Car,Footnote Text Char Char Char Char Car,Footnote reference Car,FA Fu Car,Footnote Text Char Char Char Car,FA Fu Car Car Car1,FA Fu Car Car Car Car Car,FA Fu Car Car Car Car1,Car Car,FA  Car"/>
    <w:link w:val="Textonotapie"/>
    <w:qFormat/>
    <w:rsid w:val="00B7360C"/>
    <w:rPr>
      <w:rFonts w:ascii="Comic Sans MS" w:eastAsia="Times New Roman" w:hAnsi="Comic Sans MS" w:cs="Comic Sans MS"/>
      <w:sz w:val="20"/>
      <w:szCs w:val="20"/>
      <w:lang w:val="es-ES_tradnl"/>
    </w:rPr>
  </w:style>
  <w:style w:type="paragraph" w:customStyle="1" w:styleId="Texto">
    <w:name w:val="Texto"/>
    <w:basedOn w:val="Normal"/>
    <w:uiPriority w:val="99"/>
    <w:rsid w:val="00B7360C"/>
    <w:pPr>
      <w:widowControl w:val="0"/>
      <w:autoSpaceDE w:val="0"/>
      <w:autoSpaceDN w:val="0"/>
      <w:adjustRightInd w:val="0"/>
      <w:spacing w:after="170" w:line="300" w:lineRule="atLeast"/>
      <w:ind w:left="567"/>
      <w:jc w:val="both"/>
      <w:textAlignment w:val="center"/>
    </w:pPr>
    <w:rPr>
      <w:rFonts w:ascii="Corbel" w:hAnsi="Corbel" w:cs="Corbel"/>
      <w:color w:val="000000"/>
      <w:lang w:val="es-ES_tradnl" w:eastAsia="es-E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rsid w:val="00B7360C"/>
    <w:pPr>
      <w:spacing w:after="0" w:line="240" w:lineRule="auto"/>
      <w:jc w:val="both"/>
    </w:pPr>
    <w:rPr>
      <w:rFonts w:asciiTheme="minorHAnsi" w:eastAsiaTheme="minorHAnsi" w:hAnsiTheme="minorHAnsi" w:cstheme="minorBidi"/>
      <w:vertAlign w:val="superscript"/>
      <w:lang w:val="es-CO"/>
    </w:rPr>
  </w:style>
  <w:style w:type="paragraph" w:styleId="Textosinformato">
    <w:name w:val="Plain Text"/>
    <w:basedOn w:val="Normal"/>
    <w:link w:val="TextosinformatoCar"/>
    <w:uiPriority w:val="99"/>
    <w:unhideWhenUsed/>
    <w:rsid w:val="00B7360C"/>
    <w:pPr>
      <w:spacing w:after="0" w:line="240" w:lineRule="auto"/>
    </w:pPr>
    <w:rPr>
      <w:rFonts w:ascii="Consolas" w:hAnsi="Consolas"/>
      <w:sz w:val="21"/>
      <w:szCs w:val="21"/>
      <w:lang w:val="es-CO" w:eastAsia="es-CO"/>
    </w:rPr>
  </w:style>
  <w:style w:type="character" w:customStyle="1" w:styleId="TextosinformatoCar">
    <w:name w:val="Texto sin formato Car"/>
    <w:basedOn w:val="Fuentedeprrafopredeter"/>
    <w:link w:val="Textosinformato"/>
    <w:uiPriority w:val="99"/>
    <w:rsid w:val="00B7360C"/>
    <w:rPr>
      <w:rFonts w:ascii="Consolas" w:eastAsia="Times New Roman" w:hAnsi="Consolas" w:cs="Times New Roman"/>
      <w:sz w:val="21"/>
      <w:szCs w:val="21"/>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1304</Words>
  <Characters>7178</Characters>
  <Application>Microsoft Office Word</Application>
  <DocSecurity>8</DocSecurity>
  <Lines>59</Lines>
  <Paragraphs>16</Paragraphs>
  <ScaleCrop>false</ScaleCrop>
  <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Prada Pacheco</dc:creator>
  <cp:keywords/>
  <dc:description/>
  <cp:lastModifiedBy>Ricardo Prada Pacheco</cp:lastModifiedBy>
  <cp:revision>1</cp:revision>
  <dcterms:created xsi:type="dcterms:W3CDTF">2023-09-28T00:02:00Z</dcterms:created>
  <dcterms:modified xsi:type="dcterms:W3CDTF">2023-09-28T00:04:00Z</dcterms:modified>
</cp:coreProperties>
</file>